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767" w:rsidRPr="00694ECE" w:rsidRDefault="00263767" w:rsidP="00A8295D">
      <w:pPr>
        <w:pStyle w:val="Nadpis1"/>
        <w:jc w:val="both"/>
        <w:rPr>
          <w:rFonts w:ascii="Times New Roman" w:hAnsi="Times New Roman" w:cs="Times New Roman"/>
        </w:rPr>
      </w:pPr>
      <w:bookmarkStart w:id="0" w:name="_GoBack"/>
      <w:bookmarkEnd w:id="0"/>
      <w:r w:rsidRPr="00694ECE">
        <w:rPr>
          <w:rFonts w:ascii="Times New Roman" w:hAnsi="Times New Roman" w:cs="Times New Roman"/>
        </w:rPr>
        <w:t xml:space="preserve">Informace o </w:t>
      </w:r>
      <w:r w:rsidR="003942B1" w:rsidRPr="00694ECE">
        <w:rPr>
          <w:rFonts w:ascii="Times New Roman" w:hAnsi="Times New Roman" w:cs="Times New Roman"/>
        </w:rPr>
        <w:t xml:space="preserve">změnách </w:t>
      </w:r>
      <w:r w:rsidR="00C447D1" w:rsidRPr="00694ECE">
        <w:rPr>
          <w:rFonts w:ascii="Times New Roman" w:hAnsi="Times New Roman" w:cs="Times New Roman"/>
        </w:rPr>
        <w:t>programového dokumentu</w:t>
      </w:r>
      <w:r w:rsidR="00F7046D" w:rsidRPr="00694ECE">
        <w:rPr>
          <w:rFonts w:ascii="Times New Roman" w:hAnsi="Times New Roman" w:cs="Times New Roman"/>
        </w:rPr>
        <w:t>, které budou předkládány</w:t>
      </w:r>
      <w:r w:rsidR="00C447D1" w:rsidRPr="00694ECE">
        <w:rPr>
          <w:rFonts w:ascii="Times New Roman" w:hAnsi="Times New Roman" w:cs="Times New Roman"/>
        </w:rPr>
        <w:t xml:space="preserve"> v rámci 10</w:t>
      </w:r>
      <w:r w:rsidR="003942B1" w:rsidRPr="00694ECE">
        <w:rPr>
          <w:rFonts w:ascii="Times New Roman" w:hAnsi="Times New Roman" w:cs="Times New Roman"/>
        </w:rPr>
        <w:t>.</w:t>
      </w:r>
      <w:r w:rsidR="001D67D3" w:rsidRPr="00694ECE">
        <w:rPr>
          <w:rFonts w:ascii="Times New Roman" w:hAnsi="Times New Roman" w:cs="Times New Roman"/>
        </w:rPr>
        <w:t> </w:t>
      </w:r>
      <w:r w:rsidR="003942B1" w:rsidRPr="00694ECE">
        <w:rPr>
          <w:rFonts w:ascii="Times New Roman" w:hAnsi="Times New Roman" w:cs="Times New Roman"/>
        </w:rPr>
        <w:t>modifikace PRV</w:t>
      </w:r>
    </w:p>
    <w:p w:rsidR="00A8295D" w:rsidRDefault="00A8295D" w:rsidP="00851915">
      <w:pPr>
        <w:pBdr>
          <w:bottom w:val="single" w:sz="12" w:space="1" w:color="4F6228" w:themeColor="accent3" w:themeShade="80"/>
        </w:pBdr>
        <w:spacing w:line="276" w:lineRule="auto"/>
        <w:jc w:val="both"/>
        <w:rPr>
          <w:b/>
          <w:caps/>
          <w:sz w:val="24"/>
        </w:rPr>
      </w:pPr>
    </w:p>
    <w:p w:rsidR="00851915" w:rsidRPr="00263767" w:rsidRDefault="00851915" w:rsidP="00851915">
      <w:pPr>
        <w:pBdr>
          <w:bottom w:val="single" w:sz="12" w:space="1" w:color="4F6228" w:themeColor="accent3" w:themeShade="80"/>
        </w:pBdr>
        <w:spacing w:line="276" w:lineRule="auto"/>
        <w:jc w:val="both"/>
        <w:rPr>
          <w:b/>
          <w:caps/>
          <w:sz w:val="24"/>
        </w:rPr>
      </w:pPr>
      <w:r>
        <w:rPr>
          <w:b/>
          <w:caps/>
          <w:sz w:val="24"/>
        </w:rPr>
        <w:t>navrhované změny - osa I</w:t>
      </w:r>
    </w:p>
    <w:p w:rsidR="00851915" w:rsidRDefault="00851915" w:rsidP="00851915">
      <w:pPr>
        <w:spacing w:after="240"/>
        <w:ind w:left="284"/>
        <w:jc w:val="both"/>
        <w:rPr>
          <w:b/>
          <w:u w:val="single"/>
        </w:rPr>
      </w:pPr>
    </w:p>
    <w:p w:rsidR="00851915" w:rsidRPr="002777D1" w:rsidRDefault="00851915" w:rsidP="002777D1">
      <w:pPr>
        <w:spacing w:after="120"/>
        <w:jc w:val="both"/>
        <w:rPr>
          <w:b/>
          <w:color w:val="4F6228" w:themeColor="accent3" w:themeShade="80"/>
          <w:sz w:val="24"/>
        </w:rPr>
      </w:pPr>
      <w:r w:rsidRPr="002777D1">
        <w:rPr>
          <w:b/>
          <w:color w:val="4F6228" w:themeColor="accent3" w:themeShade="80"/>
          <w:sz w:val="24"/>
        </w:rPr>
        <w:t>Podopatření I.1.3.1 Přidávání hodnoty zemědělským a potravinářským produktům (kód 123)</w:t>
      </w:r>
    </w:p>
    <w:p w:rsidR="00851915" w:rsidRPr="001D67D3" w:rsidRDefault="00851915" w:rsidP="00851915">
      <w:pPr>
        <w:numPr>
          <w:ilvl w:val="0"/>
          <w:numId w:val="23"/>
        </w:numPr>
        <w:spacing w:before="120" w:after="120"/>
        <w:jc w:val="both"/>
        <w:rPr>
          <w:iCs/>
          <w:sz w:val="24"/>
        </w:rPr>
      </w:pPr>
      <w:r w:rsidRPr="001D67D3">
        <w:rPr>
          <w:iCs/>
          <w:sz w:val="24"/>
        </w:rPr>
        <w:t xml:space="preserve">Oproti předpokladu nedošlo v tomto podopatření otevřeném v 19. kole příjmu žádostí (červen/červenec 2013) k plnému závazkování prostředků. Proto byl po konzultaci s Potravinářskou komorou ČR navržen </w:t>
      </w:r>
      <w:r w:rsidRPr="001D67D3">
        <w:rPr>
          <w:b/>
          <w:iCs/>
          <w:sz w:val="24"/>
        </w:rPr>
        <w:t>přesun zbývající části finančních prostředků</w:t>
      </w:r>
      <w:r w:rsidRPr="001D67D3">
        <w:rPr>
          <w:iCs/>
          <w:sz w:val="24"/>
        </w:rPr>
        <w:t xml:space="preserve"> (</w:t>
      </w:r>
      <w:r w:rsidR="00F7046D">
        <w:rPr>
          <w:iCs/>
          <w:sz w:val="24"/>
        </w:rPr>
        <w:t xml:space="preserve">předběžně </w:t>
      </w:r>
      <w:r w:rsidRPr="001D67D3">
        <w:rPr>
          <w:b/>
          <w:iCs/>
          <w:sz w:val="24"/>
        </w:rPr>
        <w:t>6 171 tis. EUR</w:t>
      </w:r>
      <w:r w:rsidRPr="001D67D3">
        <w:rPr>
          <w:iCs/>
          <w:sz w:val="24"/>
        </w:rPr>
        <w:t xml:space="preserve"> celkových veřejných prostředků, tj. </w:t>
      </w:r>
      <w:r w:rsidRPr="001D67D3">
        <w:rPr>
          <w:b/>
          <w:sz w:val="24"/>
        </w:rPr>
        <w:t>3 085 tis. EUR</w:t>
      </w:r>
      <w:r w:rsidRPr="001D67D3">
        <w:rPr>
          <w:sz w:val="24"/>
        </w:rPr>
        <w:t xml:space="preserve"> z rozpočtu EZFRV</w:t>
      </w:r>
      <w:r w:rsidRPr="001D67D3">
        <w:rPr>
          <w:iCs/>
          <w:sz w:val="24"/>
        </w:rPr>
        <w:t>) do podopatření I.1.3.2 Spolupráce při vývoji nových produktů, postupů a</w:t>
      </w:r>
      <w:r w:rsidR="009274ED">
        <w:rPr>
          <w:iCs/>
          <w:sz w:val="24"/>
        </w:rPr>
        <w:t> </w:t>
      </w:r>
      <w:r w:rsidRPr="001D67D3">
        <w:rPr>
          <w:iCs/>
          <w:sz w:val="24"/>
        </w:rPr>
        <w:t xml:space="preserve">technologií (resp. inovací) v potravinářství, ve kterém je možné očekávat dostatečnou absorpční kapacitu pro využití zbývajících finančních prostředků. </w:t>
      </w:r>
      <w:r w:rsidRPr="001D67D3">
        <w:rPr>
          <w:sz w:val="24"/>
        </w:rPr>
        <w:t xml:space="preserve">Návazně na přesun finančních prostředků </w:t>
      </w:r>
      <w:r w:rsidR="00F7046D">
        <w:rPr>
          <w:sz w:val="24"/>
        </w:rPr>
        <w:t>bude</w:t>
      </w:r>
      <w:r w:rsidRPr="001D67D3">
        <w:rPr>
          <w:sz w:val="24"/>
        </w:rPr>
        <w:t xml:space="preserve"> ponížen ukazatel pro celkové investice pro podopatření I.1.3.1</w:t>
      </w:r>
      <w:r w:rsidR="009274ED">
        <w:rPr>
          <w:sz w:val="24"/>
        </w:rPr>
        <w:t> </w:t>
      </w:r>
      <w:r w:rsidRPr="001D67D3">
        <w:rPr>
          <w:sz w:val="24"/>
        </w:rPr>
        <w:t>Přidávání hodnoty zemědělským a potravinářským produktům (kód 123) na hodnotu 212 971  tis. EUR.</w:t>
      </w:r>
    </w:p>
    <w:p w:rsidR="00851915" w:rsidRPr="001D67D3" w:rsidRDefault="00851915" w:rsidP="00851915">
      <w:pPr>
        <w:numPr>
          <w:ilvl w:val="0"/>
          <w:numId w:val="23"/>
        </w:numPr>
        <w:spacing w:before="120" w:after="120"/>
        <w:jc w:val="both"/>
        <w:rPr>
          <w:iCs/>
          <w:sz w:val="24"/>
        </w:rPr>
      </w:pPr>
      <w:r w:rsidRPr="001D67D3">
        <w:rPr>
          <w:iCs/>
          <w:sz w:val="24"/>
        </w:rPr>
        <w:t xml:space="preserve">Kvůli </w:t>
      </w:r>
      <w:r w:rsidRPr="001D67D3">
        <w:rPr>
          <w:b/>
          <w:iCs/>
          <w:sz w:val="24"/>
        </w:rPr>
        <w:t>zamezení překryvu s národní podporou</w:t>
      </w:r>
      <w:r w:rsidRPr="001D67D3">
        <w:rPr>
          <w:iCs/>
          <w:sz w:val="24"/>
        </w:rPr>
        <w:t xml:space="preserve"> „</w:t>
      </w:r>
      <w:r w:rsidRPr="001D67D3">
        <w:rPr>
          <w:bCs/>
          <w:sz w:val="24"/>
        </w:rPr>
        <w:t>Podpora zpracování zemědělských produktů a zvyšování konkurencescho</w:t>
      </w:r>
      <w:r w:rsidR="00C323F5">
        <w:rPr>
          <w:bCs/>
          <w:sz w:val="24"/>
        </w:rPr>
        <w:t>pnosti potravinářského průmyslu</w:t>
      </w:r>
      <w:r w:rsidRPr="001D67D3">
        <w:rPr>
          <w:bCs/>
          <w:sz w:val="24"/>
        </w:rPr>
        <w:t xml:space="preserve"> - státní podpora č.</w:t>
      </w:r>
      <w:r w:rsidR="00C323F5">
        <w:rPr>
          <w:bCs/>
          <w:sz w:val="24"/>
        </w:rPr>
        <w:t> </w:t>
      </w:r>
      <w:r w:rsidRPr="001D67D3">
        <w:rPr>
          <w:bCs/>
          <w:sz w:val="24"/>
        </w:rPr>
        <w:t xml:space="preserve">SA.36938 (2013-PN), je nezbytné upravit </w:t>
      </w:r>
      <w:r w:rsidRPr="001D67D3">
        <w:rPr>
          <w:b/>
          <w:bCs/>
          <w:sz w:val="24"/>
        </w:rPr>
        <w:t>vymezení příjemců podpory</w:t>
      </w:r>
      <w:r w:rsidR="00C323F5">
        <w:rPr>
          <w:bCs/>
          <w:sz w:val="24"/>
        </w:rPr>
        <w:t xml:space="preserve"> v PRV. Z </w:t>
      </w:r>
      <w:r w:rsidRPr="001D67D3">
        <w:rPr>
          <w:bCs/>
          <w:sz w:val="24"/>
        </w:rPr>
        <w:t xml:space="preserve">PRV budou podporovány pouze </w:t>
      </w:r>
      <w:r w:rsidRPr="001D67D3">
        <w:rPr>
          <w:b/>
          <w:bCs/>
          <w:sz w:val="24"/>
        </w:rPr>
        <w:t>drobné, malé nebo střední podniky</w:t>
      </w:r>
      <w:r w:rsidR="00A8295D" w:rsidRPr="001D67D3">
        <w:rPr>
          <w:b/>
          <w:bCs/>
          <w:sz w:val="24"/>
        </w:rPr>
        <w:t>,</w:t>
      </w:r>
      <w:r w:rsidRPr="001D67D3">
        <w:rPr>
          <w:bCs/>
          <w:sz w:val="24"/>
        </w:rPr>
        <w:t xml:space="preserve"> větší střední podniky budou po</w:t>
      </w:r>
      <w:r w:rsidR="00F7046D">
        <w:rPr>
          <w:bCs/>
          <w:sz w:val="24"/>
        </w:rPr>
        <w:t>dporovány z národního programu.</w:t>
      </w:r>
    </w:p>
    <w:p w:rsidR="00851915" w:rsidRPr="002777D1" w:rsidRDefault="00F7046D" w:rsidP="002777D1">
      <w:pPr>
        <w:spacing w:after="120"/>
        <w:jc w:val="both"/>
        <w:rPr>
          <w:b/>
          <w:color w:val="4F6228" w:themeColor="accent3" w:themeShade="80"/>
          <w:sz w:val="24"/>
        </w:rPr>
      </w:pPr>
      <w:r>
        <w:rPr>
          <w:b/>
          <w:color w:val="4F6228" w:themeColor="accent3" w:themeShade="80"/>
          <w:sz w:val="24"/>
        </w:rPr>
        <w:t>Opatření I.3.3</w:t>
      </w:r>
      <w:r w:rsidR="00851915" w:rsidRPr="002777D1">
        <w:rPr>
          <w:b/>
          <w:color w:val="4F6228" w:themeColor="accent3" w:themeShade="80"/>
          <w:sz w:val="24"/>
        </w:rPr>
        <w:t xml:space="preserve"> Předčasné ukončení zemědělské činnosti (kód 113)</w:t>
      </w:r>
    </w:p>
    <w:p w:rsidR="00A8295D" w:rsidRPr="001D67D3" w:rsidRDefault="00851915" w:rsidP="00A8295D">
      <w:pPr>
        <w:numPr>
          <w:ilvl w:val="0"/>
          <w:numId w:val="23"/>
        </w:numPr>
        <w:spacing w:before="120" w:after="120"/>
        <w:jc w:val="both"/>
        <w:rPr>
          <w:iCs/>
          <w:sz w:val="24"/>
        </w:rPr>
      </w:pPr>
      <w:r w:rsidRPr="001D67D3">
        <w:rPr>
          <w:iCs/>
          <w:sz w:val="24"/>
        </w:rPr>
        <w:t>V rámci auditní mise EK zaměřené na PRV, osu I (opatření 112 a 113)</w:t>
      </w:r>
      <w:r w:rsidR="00C323F5">
        <w:rPr>
          <w:iCs/>
          <w:sz w:val="24"/>
        </w:rPr>
        <w:t>,</w:t>
      </w:r>
      <w:r w:rsidRPr="001D67D3">
        <w:rPr>
          <w:iCs/>
          <w:sz w:val="24"/>
        </w:rPr>
        <w:t xml:space="preserve"> vyplynul ze závěrečného jednání dne 21. 6. 2013 požadavek auditorů EK na úpravu PRV ve smyslu </w:t>
      </w:r>
      <w:r w:rsidRPr="001D67D3">
        <w:rPr>
          <w:b/>
          <w:iCs/>
          <w:sz w:val="24"/>
        </w:rPr>
        <w:t>snížení věku nabyvatele</w:t>
      </w:r>
      <w:r w:rsidRPr="001D67D3">
        <w:rPr>
          <w:iCs/>
          <w:sz w:val="24"/>
        </w:rPr>
        <w:t xml:space="preserve"> z</w:t>
      </w:r>
      <w:r w:rsidR="00F7046D">
        <w:rPr>
          <w:iCs/>
          <w:sz w:val="24"/>
        </w:rPr>
        <w:t xml:space="preserve"> max. </w:t>
      </w:r>
      <w:r w:rsidRPr="001D67D3">
        <w:rPr>
          <w:iCs/>
          <w:sz w:val="24"/>
        </w:rPr>
        <w:t>50 let (dle programového dokumentu) na </w:t>
      </w:r>
      <w:r w:rsidR="00F7046D">
        <w:rPr>
          <w:iCs/>
          <w:sz w:val="24"/>
        </w:rPr>
        <w:t xml:space="preserve">max. </w:t>
      </w:r>
      <w:r w:rsidRPr="001D67D3">
        <w:rPr>
          <w:iCs/>
          <w:sz w:val="24"/>
        </w:rPr>
        <w:t>40 let uvedených v Pravidlech, kterými se stanovují podmínky pro poskytování dotace na projekty PRV pro opatření I</w:t>
      </w:r>
      <w:r w:rsidR="00F7046D">
        <w:rPr>
          <w:iCs/>
          <w:sz w:val="24"/>
        </w:rPr>
        <w:t>.3.</w:t>
      </w:r>
      <w:r w:rsidRPr="001D67D3">
        <w:rPr>
          <w:iCs/>
          <w:sz w:val="24"/>
        </w:rPr>
        <w:t>3. Navržená úprava PRV tak slaďuje podmínky uvedené v Pravidlech a </w:t>
      </w:r>
      <w:r w:rsidR="00F7046D">
        <w:rPr>
          <w:iCs/>
          <w:sz w:val="24"/>
        </w:rPr>
        <w:t xml:space="preserve">v </w:t>
      </w:r>
      <w:r w:rsidRPr="001D67D3">
        <w:rPr>
          <w:iCs/>
          <w:sz w:val="24"/>
        </w:rPr>
        <w:t>programovém dokumentu.</w:t>
      </w:r>
    </w:p>
    <w:p w:rsidR="002D58DB" w:rsidRPr="002D58DB" w:rsidRDefault="002370A5" w:rsidP="002D58DB">
      <w:pPr>
        <w:spacing w:after="120"/>
        <w:jc w:val="both"/>
        <w:rPr>
          <w:b/>
          <w:color w:val="4F6228" w:themeColor="accent3" w:themeShade="80"/>
          <w:sz w:val="24"/>
        </w:rPr>
      </w:pPr>
      <w:r w:rsidRPr="002777D1">
        <w:rPr>
          <w:b/>
          <w:color w:val="4F6228" w:themeColor="accent3" w:themeShade="80"/>
          <w:sz w:val="24"/>
        </w:rPr>
        <w:t>Pod</w:t>
      </w:r>
      <w:r w:rsidR="00A8295D" w:rsidRPr="002777D1">
        <w:rPr>
          <w:b/>
          <w:color w:val="4F6228" w:themeColor="accent3" w:themeShade="80"/>
          <w:sz w:val="24"/>
        </w:rPr>
        <w:t>patření I.1.1.1 Modernizace zemědělských podniků (kód 121)</w:t>
      </w:r>
      <w:r w:rsidR="00F7046D">
        <w:rPr>
          <w:b/>
          <w:color w:val="4F6228" w:themeColor="accent3" w:themeShade="80"/>
          <w:sz w:val="24"/>
        </w:rPr>
        <w:t xml:space="preserve"> a </w:t>
      </w:r>
      <w:r w:rsidR="002D58DB">
        <w:rPr>
          <w:b/>
          <w:color w:val="4F6228" w:themeColor="accent3" w:themeShade="80"/>
          <w:sz w:val="24"/>
        </w:rPr>
        <w:t xml:space="preserve">návazně </w:t>
      </w:r>
      <w:r w:rsidR="00F7046D">
        <w:rPr>
          <w:b/>
          <w:color w:val="4F6228" w:themeColor="accent3" w:themeShade="80"/>
          <w:sz w:val="24"/>
        </w:rPr>
        <w:t>opatření III.1.2</w:t>
      </w:r>
      <w:r w:rsidR="00C323F5">
        <w:rPr>
          <w:b/>
          <w:color w:val="4F6228" w:themeColor="accent3" w:themeShade="80"/>
          <w:sz w:val="24"/>
        </w:rPr>
        <w:t> </w:t>
      </w:r>
      <w:r w:rsidR="00F7046D">
        <w:rPr>
          <w:b/>
          <w:color w:val="4F6228" w:themeColor="accent3" w:themeShade="80"/>
          <w:sz w:val="24"/>
        </w:rPr>
        <w:t>Podpora zakládání podniků a jejich rozvoje</w:t>
      </w:r>
    </w:p>
    <w:p w:rsidR="006556D9" w:rsidRPr="001D67D3" w:rsidRDefault="00F7046D" w:rsidP="00851915">
      <w:pPr>
        <w:numPr>
          <w:ilvl w:val="0"/>
          <w:numId w:val="23"/>
        </w:numPr>
        <w:spacing w:before="120" w:after="120"/>
        <w:jc w:val="both"/>
        <w:rPr>
          <w:iCs/>
          <w:sz w:val="24"/>
        </w:rPr>
      </w:pPr>
      <w:r>
        <w:rPr>
          <w:iCs/>
          <w:sz w:val="24"/>
        </w:rPr>
        <w:t xml:space="preserve">Návrh řeší nedočerpané prostředky v níže uvedených opatřeních (stav k </w:t>
      </w:r>
      <w:r w:rsidRPr="001D67D3">
        <w:rPr>
          <w:noProof/>
          <w:sz w:val="24"/>
        </w:rPr>
        <w:t>30. září 2013</w:t>
      </w:r>
      <w:r>
        <w:rPr>
          <w:noProof/>
          <w:sz w:val="24"/>
        </w:rPr>
        <w:t>)</w:t>
      </w:r>
      <w:r w:rsidR="001D67D3" w:rsidRPr="001D67D3">
        <w:rPr>
          <w:iCs/>
          <w:sz w:val="24"/>
        </w:rPr>
        <w:t>:</w:t>
      </w:r>
      <w:r w:rsidR="00A8295D" w:rsidRPr="001D67D3">
        <w:rPr>
          <w:iCs/>
          <w:sz w:val="24"/>
        </w:rPr>
        <w:t xml:space="preserve"> </w:t>
      </w:r>
    </w:p>
    <w:tbl>
      <w:tblPr>
        <w:tblW w:w="8647" w:type="dxa"/>
        <w:tblInd w:w="1204" w:type="dxa"/>
        <w:tblCellMar>
          <w:left w:w="70" w:type="dxa"/>
          <w:right w:w="70" w:type="dxa"/>
        </w:tblCellMar>
        <w:tblLook w:val="04A0"/>
      </w:tblPr>
      <w:tblGrid>
        <w:gridCol w:w="3828"/>
        <w:gridCol w:w="2268"/>
        <w:gridCol w:w="2551"/>
      </w:tblGrid>
      <w:tr w:rsidR="008E3997" w:rsidRPr="001D67D3" w:rsidTr="002777D1">
        <w:trPr>
          <w:trHeight w:val="510"/>
        </w:trPr>
        <w:tc>
          <w:tcPr>
            <w:tcW w:w="382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3997" w:rsidRPr="001D67D3" w:rsidRDefault="008E3997" w:rsidP="00A8295D">
            <w:pPr>
              <w:spacing w:line="240" w:lineRule="atLeast"/>
              <w:jc w:val="center"/>
              <w:rPr>
                <w:b/>
                <w:bCs/>
                <w:szCs w:val="22"/>
              </w:rPr>
            </w:pPr>
            <w:r w:rsidRPr="001D67D3">
              <w:rPr>
                <w:b/>
                <w:bCs/>
                <w:szCs w:val="22"/>
              </w:rPr>
              <w:t>Opatření</w:t>
            </w:r>
          </w:p>
        </w:tc>
        <w:tc>
          <w:tcPr>
            <w:tcW w:w="2268" w:type="dxa"/>
            <w:vMerge w:val="restart"/>
            <w:tcBorders>
              <w:top w:val="single" w:sz="8" w:space="0" w:color="auto"/>
              <w:left w:val="single" w:sz="4" w:space="0" w:color="auto"/>
              <w:bottom w:val="single" w:sz="4" w:space="0" w:color="000000"/>
              <w:right w:val="single" w:sz="8" w:space="0" w:color="auto"/>
            </w:tcBorders>
            <w:shd w:val="clear" w:color="auto" w:fill="auto"/>
            <w:vAlign w:val="center"/>
            <w:hideMark/>
          </w:tcPr>
          <w:p w:rsidR="008E3997" w:rsidRPr="001D67D3" w:rsidRDefault="008E3997" w:rsidP="00A8295D">
            <w:pPr>
              <w:spacing w:line="240" w:lineRule="atLeast"/>
              <w:jc w:val="center"/>
              <w:rPr>
                <w:b/>
                <w:bCs/>
                <w:szCs w:val="22"/>
              </w:rPr>
            </w:pPr>
            <w:r w:rsidRPr="001D67D3">
              <w:rPr>
                <w:b/>
                <w:bCs/>
                <w:szCs w:val="22"/>
              </w:rPr>
              <w:t xml:space="preserve">zbývá k závazkování </w:t>
            </w:r>
            <w:r w:rsidR="00A8295D" w:rsidRPr="001D67D3">
              <w:rPr>
                <w:b/>
                <w:bCs/>
                <w:szCs w:val="22"/>
              </w:rPr>
              <w:t>v </w:t>
            </w:r>
            <w:r w:rsidRPr="001D67D3">
              <w:rPr>
                <w:b/>
                <w:bCs/>
                <w:szCs w:val="22"/>
              </w:rPr>
              <w:t>EUR</w:t>
            </w:r>
          </w:p>
        </w:tc>
        <w:tc>
          <w:tcPr>
            <w:tcW w:w="2551" w:type="dxa"/>
            <w:vMerge w:val="restart"/>
            <w:tcBorders>
              <w:top w:val="single" w:sz="8" w:space="0" w:color="auto"/>
              <w:left w:val="single" w:sz="8" w:space="0" w:color="auto"/>
              <w:bottom w:val="single" w:sz="4" w:space="0" w:color="000000"/>
              <w:right w:val="single" w:sz="8" w:space="0" w:color="auto"/>
            </w:tcBorders>
            <w:shd w:val="clear" w:color="auto" w:fill="auto"/>
            <w:vAlign w:val="center"/>
            <w:hideMark/>
          </w:tcPr>
          <w:p w:rsidR="008E3997" w:rsidRPr="001D67D3" w:rsidRDefault="008E3997" w:rsidP="00A8295D">
            <w:pPr>
              <w:spacing w:line="240" w:lineRule="atLeast"/>
              <w:jc w:val="center"/>
              <w:rPr>
                <w:b/>
                <w:bCs/>
                <w:szCs w:val="22"/>
              </w:rPr>
            </w:pPr>
            <w:r w:rsidRPr="001D67D3">
              <w:rPr>
                <w:b/>
                <w:bCs/>
                <w:szCs w:val="22"/>
              </w:rPr>
              <w:t xml:space="preserve">zbývá k závazkování </w:t>
            </w:r>
          </w:p>
          <w:p w:rsidR="008E3997" w:rsidRPr="001D67D3" w:rsidRDefault="008E3997" w:rsidP="00A8295D">
            <w:pPr>
              <w:jc w:val="center"/>
              <w:rPr>
                <w:b/>
                <w:bCs/>
                <w:szCs w:val="22"/>
              </w:rPr>
            </w:pPr>
            <w:r w:rsidRPr="001D67D3">
              <w:rPr>
                <w:b/>
                <w:bCs/>
                <w:szCs w:val="22"/>
              </w:rPr>
              <w:t>v Kč (kurz 25,8</w:t>
            </w:r>
            <w:r w:rsidR="00C323F5">
              <w:rPr>
                <w:b/>
                <w:bCs/>
                <w:szCs w:val="22"/>
              </w:rPr>
              <w:t xml:space="preserve"> Kč/EUR</w:t>
            </w:r>
            <w:r w:rsidRPr="001D67D3">
              <w:rPr>
                <w:b/>
                <w:bCs/>
                <w:szCs w:val="22"/>
              </w:rPr>
              <w:t>)</w:t>
            </w:r>
          </w:p>
        </w:tc>
      </w:tr>
      <w:tr w:rsidR="008E3997" w:rsidRPr="001D67D3" w:rsidTr="002777D1">
        <w:trPr>
          <w:trHeight w:val="276"/>
        </w:trPr>
        <w:tc>
          <w:tcPr>
            <w:tcW w:w="382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E3997" w:rsidRPr="001D67D3" w:rsidRDefault="008E3997" w:rsidP="001A1619">
            <w:pPr>
              <w:rPr>
                <w:b/>
                <w:bCs/>
                <w:szCs w:val="22"/>
              </w:rPr>
            </w:pPr>
          </w:p>
        </w:tc>
        <w:tc>
          <w:tcPr>
            <w:tcW w:w="2268" w:type="dxa"/>
            <w:vMerge/>
            <w:tcBorders>
              <w:top w:val="single" w:sz="8" w:space="0" w:color="auto"/>
              <w:left w:val="single" w:sz="4" w:space="0" w:color="auto"/>
              <w:bottom w:val="single" w:sz="4" w:space="0" w:color="000000"/>
              <w:right w:val="single" w:sz="8" w:space="0" w:color="auto"/>
            </w:tcBorders>
            <w:shd w:val="clear" w:color="auto" w:fill="auto"/>
            <w:vAlign w:val="center"/>
            <w:hideMark/>
          </w:tcPr>
          <w:p w:rsidR="008E3997" w:rsidRPr="001D67D3" w:rsidRDefault="008E3997" w:rsidP="001A1619">
            <w:pPr>
              <w:rPr>
                <w:b/>
                <w:bCs/>
                <w:szCs w:val="22"/>
              </w:rPr>
            </w:pPr>
          </w:p>
        </w:tc>
        <w:tc>
          <w:tcPr>
            <w:tcW w:w="2551" w:type="dxa"/>
            <w:vMerge/>
            <w:tcBorders>
              <w:top w:val="single" w:sz="8" w:space="0" w:color="auto"/>
              <w:left w:val="single" w:sz="8" w:space="0" w:color="auto"/>
              <w:bottom w:val="single" w:sz="4" w:space="0" w:color="000000"/>
              <w:right w:val="single" w:sz="8" w:space="0" w:color="auto"/>
            </w:tcBorders>
            <w:shd w:val="clear" w:color="auto" w:fill="auto"/>
            <w:vAlign w:val="center"/>
            <w:hideMark/>
          </w:tcPr>
          <w:p w:rsidR="008E3997" w:rsidRPr="001D67D3" w:rsidRDefault="008E3997" w:rsidP="001A1619">
            <w:pPr>
              <w:rPr>
                <w:b/>
                <w:bCs/>
                <w:szCs w:val="22"/>
              </w:rPr>
            </w:pPr>
          </w:p>
        </w:tc>
      </w:tr>
      <w:tr w:rsidR="008E3997" w:rsidRPr="001D67D3" w:rsidTr="002777D1">
        <w:trPr>
          <w:trHeight w:val="300"/>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3997" w:rsidRPr="001D67D3" w:rsidRDefault="008E3997" w:rsidP="001A1619">
            <w:pPr>
              <w:rPr>
                <w:color w:val="000000"/>
                <w:szCs w:val="22"/>
              </w:rPr>
            </w:pPr>
            <w:r w:rsidRPr="001D67D3">
              <w:rPr>
                <w:color w:val="000000"/>
                <w:szCs w:val="22"/>
              </w:rPr>
              <w:t>I.1.2 Investice do lesů</w:t>
            </w:r>
            <w:r w:rsidR="002777D1">
              <w:rPr>
                <w:color w:val="000000"/>
                <w:szCs w:val="22"/>
              </w:rPr>
              <w:t xml:space="preserve"> (121, 123, 125)</w:t>
            </w:r>
          </w:p>
        </w:tc>
        <w:tc>
          <w:tcPr>
            <w:tcW w:w="2268" w:type="dxa"/>
            <w:tcBorders>
              <w:top w:val="nil"/>
              <w:left w:val="nil"/>
              <w:bottom w:val="single" w:sz="4" w:space="0" w:color="auto"/>
              <w:right w:val="nil"/>
            </w:tcBorders>
            <w:shd w:val="clear" w:color="auto" w:fill="auto"/>
            <w:vAlign w:val="center"/>
            <w:hideMark/>
          </w:tcPr>
          <w:p w:rsidR="008E3997" w:rsidRPr="001D67D3" w:rsidRDefault="008E3997" w:rsidP="001A1619">
            <w:pPr>
              <w:jc w:val="center"/>
              <w:rPr>
                <w:color w:val="000000"/>
                <w:szCs w:val="22"/>
              </w:rPr>
            </w:pPr>
            <w:r w:rsidRPr="001D67D3">
              <w:rPr>
                <w:color w:val="000000"/>
                <w:szCs w:val="22"/>
              </w:rPr>
              <w:t xml:space="preserve">5 238 915 </w:t>
            </w:r>
          </w:p>
        </w:tc>
        <w:tc>
          <w:tcPr>
            <w:tcW w:w="2551" w:type="dxa"/>
            <w:tcBorders>
              <w:top w:val="nil"/>
              <w:left w:val="single" w:sz="8" w:space="0" w:color="auto"/>
              <w:bottom w:val="single" w:sz="4" w:space="0" w:color="auto"/>
              <w:right w:val="single" w:sz="8" w:space="0" w:color="auto"/>
            </w:tcBorders>
            <w:shd w:val="clear" w:color="auto" w:fill="auto"/>
            <w:vAlign w:val="center"/>
            <w:hideMark/>
          </w:tcPr>
          <w:p w:rsidR="008E3997" w:rsidRPr="001D67D3" w:rsidRDefault="008E3997" w:rsidP="001A1619">
            <w:pPr>
              <w:jc w:val="center"/>
              <w:rPr>
                <w:color w:val="000000"/>
                <w:szCs w:val="22"/>
              </w:rPr>
            </w:pPr>
            <w:r w:rsidRPr="001D67D3">
              <w:rPr>
                <w:color w:val="000000"/>
                <w:szCs w:val="22"/>
              </w:rPr>
              <w:t xml:space="preserve">135 164 014  </w:t>
            </w:r>
          </w:p>
        </w:tc>
      </w:tr>
      <w:tr w:rsidR="008E3997" w:rsidRPr="001D67D3" w:rsidTr="002777D1">
        <w:trPr>
          <w:trHeight w:val="555"/>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3997" w:rsidRPr="001D67D3" w:rsidRDefault="008E3997" w:rsidP="001A1619">
            <w:pPr>
              <w:rPr>
                <w:color w:val="000000"/>
                <w:szCs w:val="22"/>
              </w:rPr>
            </w:pPr>
            <w:r w:rsidRPr="001D67D3">
              <w:rPr>
                <w:color w:val="000000"/>
                <w:szCs w:val="22"/>
              </w:rPr>
              <w:t>III.1.2 Podpora zakládání podniků a jejich rozvoje (312)</w:t>
            </w:r>
          </w:p>
        </w:tc>
        <w:tc>
          <w:tcPr>
            <w:tcW w:w="2268" w:type="dxa"/>
            <w:tcBorders>
              <w:top w:val="nil"/>
              <w:left w:val="nil"/>
              <w:bottom w:val="single" w:sz="4" w:space="0" w:color="auto"/>
              <w:right w:val="nil"/>
            </w:tcBorders>
            <w:shd w:val="clear" w:color="auto" w:fill="auto"/>
            <w:vAlign w:val="center"/>
            <w:hideMark/>
          </w:tcPr>
          <w:p w:rsidR="008E3997" w:rsidRPr="001D67D3" w:rsidRDefault="008E3997" w:rsidP="001A1619">
            <w:pPr>
              <w:jc w:val="center"/>
              <w:rPr>
                <w:color w:val="000000"/>
                <w:szCs w:val="22"/>
              </w:rPr>
            </w:pPr>
            <w:r w:rsidRPr="001D67D3">
              <w:rPr>
                <w:color w:val="000000"/>
                <w:szCs w:val="22"/>
              </w:rPr>
              <w:t xml:space="preserve">5 948 802  </w:t>
            </w:r>
          </w:p>
        </w:tc>
        <w:tc>
          <w:tcPr>
            <w:tcW w:w="2551" w:type="dxa"/>
            <w:tcBorders>
              <w:top w:val="nil"/>
              <w:left w:val="single" w:sz="8" w:space="0" w:color="auto"/>
              <w:bottom w:val="single" w:sz="4" w:space="0" w:color="auto"/>
              <w:right w:val="single" w:sz="8" w:space="0" w:color="auto"/>
            </w:tcBorders>
            <w:shd w:val="clear" w:color="auto" w:fill="auto"/>
            <w:vAlign w:val="center"/>
            <w:hideMark/>
          </w:tcPr>
          <w:p w:rsidR="008E3997" w:rsidRPr="001D67D3" w:rsidRDefault="008E3997" w:rsidP="001A1619">
            <w:pPr>
              <w:jc w:val="center"/>
              <w:rPr>
                <w:color w:val="000000"/>
                <w:szCs w:val="22"/>
              </w:rPr>
            </w:pPr>
            <w:r w:rsidRPr="001D67D3">
              <w:rPr>
                <w:color w:val="000000"/>
                <w:szCs w:val="22"/>
              </w:rPr>
              <w:t xml:space="preserve">153 479 083  </w:t>
            </w:r>
          </w:p>
        </w:tc>
      </w:tr>
      <w:tr w:rsidR="008E3997" w:rsidRPr="001D67D3" w:rsidTr="002777D1">
        <w:trPr>
          <w:trHeight w:val="251"/>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3997" w:rsidRPr="001D67D3" w:rsidRDefault="008E3997" w:rsidP="001A1619">
            <w:pPr>
              <w:rPr>
                <w:color w:val="000000"/>
                <w:szCs w:val="22"/>
              </w:rPr>
            </w:pPr>
            <w:r w:rsidRPr="001D67D3">
              <w:rPr>
                <w:color w:val="000000"/>
                <w:szCs w:val="22"/>
              </w:rPr>
              <w:t>III.1.3 Podpora cestovního ruchu (313)</w:t>
            </w:r>
          </w:p>
        </w:tc>
        <w:tc>
          <w:tcPr>
            <w:tcW w:w="2268" w:type="dxa"/>
            <w:tcBorders>
              <w:top w:val="nil"/>
              <w:left w:val="nil"/>
              <w:bottom w:val="single" w:sz="4" w:space="0" w:color="auto"/>
              <w:right w:val="nil"/>
            </w:tcBorders>
            <w:shd w:val="clear" w:color="auto" w:fill="auto"/>
            <w:vAlign w:val="center"/>
            <w:hideMark/>
          </w:tcPr>
          <w:p w:rsidR="008E3997" w:rsidRPr="001D67D3" w:rsidRDefault="008E3997" w:rsidP="001A1619">
            <w:pPr>
              <w:jc w:val="center"/>
              <w:rPr>
                <w:color w:val="000000"/>
                <w:szCs w:val="22"/>
              </w:rPr>
            </w:pPr>
            <w:r w:rsidRPr="001D67D3">
              <w:rPr>
                <w:color w:val="000000"/>
                <w:szCs w:val="22"/>
              </w:rPr>
              <w:t xml:space="preserve">2 675 315 </w:t>
            </w:r>
          </w:p>
        </w:tc>
        <w:tc>
          <w:tcPr>
            <w:tcW w:w="2551" w:type="dxa"/>
            <w:tcBorders>
              <w:top w:val="nil"/>
              <w:left w:val="single" w:sz="8" w:space="0" w:color="auto"/>
              <w:bottom w:val="single" w:sz="4" w:space="0" w:color="auto"/>
              <w:right w:val="single" w:sz="8" w:space="0" w:color="auto"/>
            </w:tcBorders>
            <w:shd w:val="clear" w:color="auto" w:fill="auto"/>
            <w:vAlign w:val="center"/>
            <w:hideMark/>
          </w:tcPr>
          <w:p w:rsidR="008E3997" w:rsidRPr="001D67D3" w:rsidRDefault="008E3997" w:rsidP="001A1619">
            <w:pPr>
              <w:jc w:val="center"/>
              <w:rPr>
                <w:color w:val="000000"/>
                <w:szCs w:val="22"/>
              </w:rPr>
            </w:pPr>
            <w:r w:rsidRPr="001D67D3">
              <w:rPr>
                <w:color w:val="000000"/>
                <w:szCs w:val="22"/>
              </w:rPr>
              <w:t xml:space="preserve">69 023 139 </w:t>
            </w:r>
          </w:p>
        </w:tc>
      </w:tr>
      <w:tr w:rsidR="008E3997" w:rsidRPr="001D67D3" w:rsidTr="002777D1">
        <w:trPr>
          <w:trHeight w:val="554"/>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3997" w:rsidRPr="002370A5" w:rsidRDefault="008E3997" w:rsidP="001A1619">
            <w:pPr>
              <w:rPr>
                <w:color w:val="000000"/>
                <w:szCs w:val="22"/>
              </w:rPr>
            </w:pPr>
            <w:r w:rsidRPr="002370A5">
              <w:rPr>
                <w:color w:val="000000"/>
                <w:szCs w:val="22"/>
              </w:rPr>
              <w:t xml:space="preserve">III.2.1 Obnova a rozvoj vesnic, občanské vybavení a služby </w:t>
            </w:r>
            <w:r w:rsidR="002777D1">
              <w:rPr>
                <w:color w:val="000000"/>
                <w:szCs w:val="22"/>
              </w:rPr>
              <w:t>(321, 322)</w:t>
            </w:r>
          </w:p>
        </w:tc>
        <w:tc>
          <w:tcPr>
            <w:tcW w:w="2268" w:type="dxa"/>
            <w:tcBorders>
              <w:top w:val="nil"/>
              <w:left w:val="nil"/>
              <w:bottom w:val="single" w:sz="4" w:space="0" w:color="auto"/>
              <w:right w:val="nil"/>
            </w:tcBorders>
            <w:shd w:val="clear" w:color="auto" w:fill="auto"/>
            <w:vAlign w:val="center"/>
            <w:hideMark/>
          </w:tcPr>
          <w:p w:rsidR="008E3997" w:rsidRPr="002370A5" w:rsidRDefault="008E3997" w:rsidP="001A1619">
            <w:pPr>
              <w:jc w:val="center"/>
              <w:rPr>
                <w:color w:val="000000"/>
                <w:szCs w:val="22"/>
              </w:rPr>
            </w:pPr>
            <w:r w:rsidRPr="002370A5">
              <w:rPr>
                <w:color w:val="000000"/>
                <w:szCs w:val="22"/>
              </w:rPr>
              <w:t xml:space="preserve">6 589 596 </w:t>
            </w:r>
          </w:p>
        </w:tc>
        <w:tc>
          <w:tcPr>
            <w:tcW w:w="2551" w:type="dxa"/>
            <w:tcBorders>
              <w:top w:val="nil"/>
              <w:left w:val="single" w:sz="8" w:space="0" w:color="auto"/>
              <w:bottom w:val="single" w:sz="4" w:space="0" w:color="auto"/>
              <w:right w:val="single" w:sz="8" w:space="0" w:color="auto"/>
            </w:tcBorders>
            <w:shd w:val="clear" w:color="auto" w:fill="auto"/>
            <w:vAlign w:val="center"/>
            <w:hideMark/>
          </w:tcPr>
          <w:p w:rsidR="008E3997" w:rsidRPr="002370A5" w:rsidRDefault="008E3997" w:rsidP="001A1619">
            <w:pPr>
              <w:jc w:val="center"/>
              <w:rPr>
                <w:color w:val="000000"/>
                <w:szCs w:val="22"/>
              </w:rPr>
            </w:pPr>
            <w:r w:rsidRPr="002370A5">
              <w:rPr>
                <w:color w:val="000000"/>
                <w:szCs w:val="22"/>
              </w:rPr>
              <w:t xml:space="preserve">170 011 579 </w:t>
            </w:r>
          </w:p>
        </w:tc>
      </w:tr>
      <w:tr w:rsidR="008E3997" w:rsidRPr="001D67D3" w:rsidTr="002777D1">
        <w:trPr>
          <w:trHeight w:val="114"/>
        </w:trPr>
        <w:tc>
          <w:tcPr>
            <w:tcW w:w="3828" w:type="dxa"/>
            <w:tcBorders>
              <w:top w:val="single" w:sz="4" w:space="0" w:color="auto"/>
              <w:left w:val="single" w:sz="4" w:space="0" w:color="auto"/>
              <w:bottom w:val="single" w:sz="4" w:space="0" w:color="auto"/>
              <w:right w:val="single" w:sz="4" w:space="0" w:color="auto"/>
            </w:tcBorders>
            <w:shd w:val="clear" w:color="auto" w:fill="C2D69B"/>
            <w:noWrap/>
            <w:vAlign w:val="center"/>
            <w:hideMark/>
          </w:tcPr>
          <w:p w:rsidR="008E3997" w:rsidRPr="001D67D3" w:rsidRDefault="002777D1" w:rsidP="001A1619">
            <w:pPr>
              <w:jc w:val="center"/>
              <w:rPr>
                <w:b/>
                <w:bCs/>
                <w:color w:val="000000"/>
                <w:sz w:val="24"/>
              </w:rPr>
            </w:pPr>
            <w:r w:rsidRPr="001D67D3">
              <w:rPr>
                <w:b/>
                <w:bCs/>
                <w:color w:val="000000"/>
                <w:sz w:val="24"/>
              </w:rPr>
              <w:t>C</w:t>
            </w:r>
            <w:r w:rsidR="008E3997" w:rsidRPr="001D67D3">
              <w:rPr>
                <w:b/>
                <w:bCs/>
                <w:color w:val="000000"/>
                <w:sz w:val="24"/>
              </w:rPr>
              <w:t>elkem</w:t>
            </w:r>
          </w:p>
        </w:tc>
        <w:tc>
          <w:tcPr>
            <w:tcW w:w="2268" w:type="dxa"/>
            <w:tcBorders>
              <w:top w:val="single" w:sz="8" w:space="0" w:color="auto"/>
              <w:left w:val="nil"/>
              <w:bottom w:val="single" w:sz="8" w:space="0" w:color="auto"/>
              <w:right w:val="nil"/>
            </w:tcBorders>
            <w:shd w:val="clear" w:color="auto" w:fill="C2D69B"/>
            <w:noWrap/>
            <w:vAlign w:val="center"/>
            <w:hideMark/>
          </w:tcPr>
          <w:p w:rsidR="008E3997" w:rsidRPr="001D67D3" w:rsidRDefault="008E3997" w:rsidP="001A1619">
            <w:pPr>
              <w:jc w:val="center"/>
              <w:rPr>
                <w:b/>
                <w:bCs/>
                <w:color w:val="000000"/>
                <w:sz w:val="24"/>
              </w:rPr>
            </w:pPr>
            <w:r w:rsidRPr="001D67D3">
              <w:rPr>
                <w:b/>
                <w:bCs/>
                <w:color w:val="000000"/>
                <w:sz w:val="24"/>
              </w:rPr>
              <w:t>20 452 628</w:t>
            </w:r>
          </w:p>
        </w:tc>
        <w:tc>
          <w:tcPr>
            <w:tcW w:w="2551" w:type="dxa"/>
            <w:tcBorders>
              <w:top w:val="single" w:sz="8" w:space="0" w:color="auto"/>
              <w:left w:val="single" w:sz="8" w:space="0" w:color="auto"/>
              <w:bottom w:val="single" w:sz="8" w:space="0" w:color="auto"/>
              <w:right w:val="single" w:sz="8" w:space="0" w:color="auto"/>
            </w:tcBorders>
            <w:shd w:val="clear" w:color="auto" w:fill="C2D69B"/>
            <w:vAlign w:val="center"/>
            <w:hideMark/>
          </w:tcPr>
          <w:p w:rsidR="008E3997" w:rsidRPr="001D67D3" w:rsidRDefault="008E3997" w:rsidP="001A1619">
            <w:pPr>
              <w:jc w:val="center"/>
              <w:rPr>
                <w:b/>
                <w:bCs/>
                <w:color w:val="000000"/>
                <w:sz w:val="24"/>
              </w:rPr>
            </w:pPr>
            <w:r w:rsidRPr="001D67D3">
              <w:rPr>
                <w:b/>
                <w:bCs/>
                <w:color w:val="000000"/>
                <w:sz w:val="24"/>
              </w:rPr>
              <w:t>527 677 815</w:t>
            </w:r>
          </w:p>
        </w:tc>
      </w:tr>
    </w:tbl>
    <w:p w:rsidR="008E3997" w:rsidRPr="002777D1" w:rsidRDefault="00C323F5" w:rsidP="002777D1">
      <w:pPr>
        <w:spacing w:after="240"/>
        <w:ind w:left="1134"/>
        <w:jc w:val="both"/>
        <w:rPr>
          <w:i/>
          <w:noProof/>
          <w:sz w:val="20"/>
          <w:szCs w:val="20"/>
        </w:rPr>
      </w:pPr>
      <w:r>
        <w:rPr>
          <w:i/>
          <w:noProof/>
          <w:sz w:val="20"/>
          <w:szCs w:val="20"/>
        </w:rPr>
        <w:t xml:space="preserve">Pozn.: </w:t>
      </w:r>
      <w:r w:rsidR="008E3997" w:rsidRPr="002777D1">
        <w:rPr>
          <w:i/>
          <w:noProof/>
          <w:sz w:val="20"/>
          <w:szCs w:val="20"/>
        </w:rPr>
        <w:t>Částky jsou pouze orientační, protože se jednak výrazně mění celkový rozpočet PRV pohybem kurzu EUR/CZK, a dále se zůstatek vyvíjí v závislosti na počtu nedokončených projektů, nebo v důsledku snížení výdajů vlivem zrealizovaných výběrových řízení.</w:t>
      </w:r>
    </w:p>
    <w:p w:rsidR="001D67D3" w:rsidRPr="001D67D3" w:rsidRDefault="008E3997" w:rsidP="001D67D3">
      <w:pPr>
        <w:spacing w:after="240"/>
        <w:ind w:left="1416"/>
        <w:jc w:val="both"/>
        <w:rPr>
          <w:noProof/>
          <w:sz w:val="24"/>
        </w:rPr>
      </w:pPr>
      <w:r w:rsidRPr="001D67D3">
        <w:rPr>
          <w:sz w:val="24"/>
        </w:rPr>
        <w:lastRenderedPageBreak/>
        <w:t xml:space="preserve">Pro využití těchto zůstatků se předpokládalo vyhlášení výzev pro </w:t>
      </w:r>
      <w:r w:rsidR="00C323F5" w:rsidRPr="001D67D3">
        <w:rPr>
          <w:sz w:val="24"/>
        </w:rPr>
        <w:t xml:space="preserve">jednotlivá </w:t>
      </w:r>
      <w:r w:rsidRPr="001D67D3">
        <w:rPr>
          <w:sz w:val="24"/>
        </w:rPr>
        <w:t xml:space="preserve">relevantní opatření v roce 2014, nicméně </w:t>
      </w:r>
      <w:r w:rsidR="002D58DB">
        <w:rPr>
          <w:sz w:val="24"/>
        </w:rPr>
        <w:t>po zvážení všech pozitiv a negativ a s přihlédnutím k faktu, že v opatření I.1.4 Pozemkové úpravy je avizováno nevyčerpání výrazného množství již závazkovaných finančních prostředků, je navržen následující postup:</w:t>
      </w:r>
    </w:p>
    <w:p w:rsidR="008E3997" w:rsidRPr="002370A5" w:rsidRDefault="008E3997" w:rsidP="001D67D3">
      <w:pPr>
        <w:ind w:left="1416"/>
        <w:jc w:val="both"/>
        <w:rPr>
          <w:b/>
          <w:noProof/>
          <w:sz w:val="24"/>
        </w:rPr>
      </w:pPr>
      <w:r w:rsidRPr="002370A5">
        <w:rPr>
          <w:b/>
          <w:noProof/>
          <w:sz w:val="24"/>
        </w:rPr>
        <w:t xml:space="preserve">Přesun 500 mil. Kč z opatření I.1.4 Pozemkové úpravy a zbývajících prostředků z osy I do </w:t>
      </w:r>
      <w:r w:rsidR="002D58DB">
        <w:rPr>
          <w:b/>
          <w:noProof/>
          <w:sz w:val="24"/>
        </w:rPr>
        <w:t>pod</w:t>
      </w:r>
      <w:r w:rsidRPr="002370A5">
        <w:rPr>
          <w:b/>
          <w:noProof/>
          <w:sz w:val="24"/>
        </w:rPr>
        <w:t>opatření I.1.1</w:t>
      </w:r>
      <w:r w:rsidR="002D58DB">
        <w:rPr>
          <w:b/>
          <w:noProof/>
          <w:sz w:val="24"/>
        </w:rPr>
        <w:t>.1</w:t>
      </w:r>
      <w:r w:rsidRPr="002370A5">
        <w:rPr>
          <w:b/>
          <w:noProof/>
          <w:sz w:val="24"/>
        </w:rPr>
        <w:t xml:space="preserve"> Modernizace zemědělských podniků a přesun zbývajících prostředků z osy III do opatření III.1.2 Podpora zakládání podniků a</w:t>
      </w:r>
      <w:r w:rsidR="00C323F5">
        <w:rPr>
          <w:b/>
          <w:noProof/>
          <w:sz w:val="24"/>
        </w:rPr>
        <w:t> </w:t>
      </w:r>
      <w:r w:rsidRPr="002370A5">
        <w:rPr>
          <w:b/>
          <w:noProof/>
          <w:sz w:val="24"/>
        </w:rPr>
        <w:t>jejich rozvoje</w:t>
      </w:r>
      <w:r w:rsidR="002370A5">
        <w:rPr>
          <w:b/>
          <w:noProof/>
          <w:sz w:val="24"/>
        </w:rPr>
        <w:t>.</w:t>
      </w:r>
    </w:p>
    <w:p w:rsidR="001D67D3" w:rsidRPr="001D67D3" w:rsidRDefault="001D67D3" w:rsidP="001D67D3">
      <w:pPr>
        <w:ind w:left="1416"/>
        <w:jc w:val="both"/>
        <w:rPr>
          <w:noProof/>
          <w:sz w:val="24"/>
          <w:u w:val="single"/>
        </w:rPr>
      </w:pPr>
    </w:p>
    <w:p w:rsidR="008E3997" w:rsidRPr="001D67D3" w:rsidRDefault="008E3997" w:rsidP="008E3997">
      <w:pPr>
        <w:ind w:left="644"/>
        <w:jc w:val="both"/>
        <w:rPr>
          <w:noProof/>
          <w:sz w:val="24"/>
        </w:rPr>
      </w:pPr>
    </w:p>
    <w:p w:rsidR="008E3997" w:rsidRPr="001D67D3" w:rsidRDefault="00A8295D" w:rsidP="008E3997">
      <w:pPr>
        <w:numPr>
          <w:ilvl w:val="0"/>
          <w:numId w:val="26"/>
        </w:numPr>
        <w:spacing w:after="240"/>
        <w:ind w:left="284" w:hanging="284"/>
        <w:jc w:val="both"/>
        <w:rPr>
          <w:sz w:val="24"/>
        </w:rPr>
      </w:pPr>
      <w:r w:rsidRPr="001D67D3">
        <w:rPr>
          <w:sz w:val="24"/>
        </w:rPr>
        <w:t xml:space="preserve">předpokládáme, že </w:t>
      </w:r>
      <w:r w:rsidR="008E3997" w:rsidRPr="001D67D3">
        <w:rPr>
          <w:sz w:val="24"/>
        </w:rPr>
        <w:t xml:space="preserve">finanční prostředky, které se zejména z časových důvodů (nedostatek prostoru pro realizaci projektů) nepodaří v projektových opatřeních vyčerpat, </w:t>
      </w:r>
      <w:r w:rsidRPr="001D67D3">
        <w:rPr>
          <w:sz w:val="24"/>
        </w:rPr>
        <w:t>budou v roce</w:t>
      </w:r>
      <w:r w:rsidR="008E3997" w:rsidRPr="001D67D3">
        <w:rPr>
          <w:b/>
          <w:sz w:val="24"/>
        </w:rPr>
        <w:t xml:space="preserve"> 2014, příp. 2015 přesun</w:t>
      </w:r>
      <w:r w:rsidRPr="001D67D3">
        <w:rPr>
          <w:b/>
          <w:sz w:val="24"/>
        </w:rPr>
        <w:t>uty</w:t>
      </w:r>
      <w:r w:rsidR="008E3997" w:rsidRPr="001D67D3">
        <w:rPr>
          <w:b/>
          <w:sz w:val="24"/>
        </w:rPr>
        <w:t xml:space="preserve"> do osy II</w:t>
      </w:r>
      <w:r w:rsidRPr="001D67D3">
        <w:rPr>
          <w:sz w:val="24"/>
        </w:rPr>
        <w:t>,</w:t>
      </w:r>
      <w:r w:rsidR="008E3997" w:rsidRPr="001D67D3">
        <w:rPr>
          <w:sz w:val="24"/>
        </w:rPr>
        <w:t xml:space="preserve"> např. na opatření LFA</w:t>
      </w:r>
      <w:r w:rsidRPr="001D67D3">
        <w:rPr>
          <w:sz w:val="24"/>
        </w:rPr>
        <w:t xml:space="preserve"> k maximálnímu využití p</w:t>
      </w:r>
      <w:r w:rsidR="008E3997" w:rsidRPr="001D67D3">
        <w:rPr>
          <w:sz w:val="24"/>
        </w:rPr>
        <w:t>rostředků</w:t>
      </w:r>
      <w:r w:rsidRPr="001D67D3">
        <w:rPr>
          <w:sz w:val="24"/>
        </w:rPr>
        <w:t xml:space="preserve"> </w:t>
      </w:r>
      <w:r w:rsidR="00B01AA7">
        <w:rPr>
          <w:sz w:val="24"/>
        </w:rPr>
        <w:t>PRV.</w:t>
      </w:r>
    </w:p>
    <w:p w:rsidR="00851915" w:rsidRDefault="00851915" w:rsidP="00851915">
      <w:pPr>
        <w:spacing w:after="240" w:line="276" w:lineRule="auto"/>
        <w:ind w:firstLine="567"/>
        <w:jc w:val="both"/>
        <w:rPr>
          <w:iCs/>
          <w:sz w:val="24"/>
        </w:rPr>
      </w:pPr>
    </w:p>
    <w:p w:rsidR="00EA1100" w:rsidRPr="00263767" w:rsidRDefault="003942B1" w:rsidP="00A87578">
      <w:pPr>
        <w:pBdr>
          <w:bottom w:val="single" w:sz="12" w:space="1" w:color="4F6228" w:themeColor="accent3" w:themeShade="80"/>
        </w:pBdr>
        <w:spacing w:line="276" w:lineRule="auto"/>
        <w:jc w:val="both"/>
        <w:rPr>
          <w:b/>
          <w:caps/>
          <w:sz w:val="24"/>
        </w:rPr>
      </w:pPr>
      <w:r>
        <w:rPr>
          <w:b/>
          <w:caps/>
          <w:sz w:val="24"/>
        </w:rPr>
        <w:t xml:space="preserve">navrhované změny </w:t>
      </w:r>
      <w:r w:rsidR="00591382">
        <w:rPr>
          <w:b/>
          <w:caps/>
          <w:sz w:val="24"/>
        </w:rPr>
        <w:t xml:space="preserve">- </w:t>
      </w:r>
      <w:r>
        <w:rPr>
          <w:b/>
          <w:caps/>
          <w:sz w:val="24"/>
        </w:rPr>
        <w:t>osa II</w:t>
      </w:r>
    </w:p>
    <w:p w:rsidR="00DA59A0" w:rsidRDefault="00DA59A0" w:rsidP="00DA59A0">
      <w:pPr>
        <w:spacing w:after="240" w:line="276" w:lineRule="auto"/>
        <w:ind w:firstLine="567"/>
        <w:jc w:val="both"/>
        <w:rPr>
          <w:iCs/>
          <w:sz w:val="24"/>
        </w:rPr>
      </w:pPr>
    </w:p>
    <w:p w:rsidR="00DA59A0" w:rsidRDefault="00DA59A0" w:rsidP="00913E8F">
      <w:pPr>
        <w:spacing w:after="240"/>
        <w:ind w:firstLine="567"/>
        <w:jc w:val="both"/>
        <w:rPr>
          <w:iCs/>
          <w:sz w:val="24"/>
        </w:rPr>
      </w:pPr>
      <w:r w:rsidRPr="00715EB1">
        <w:rPr>
          <w:iCs/>
          <w:sz w:val="24"/>
        </w:rPr>
        <w:t>Vzhledem k</w:t>
      </w:r>
      <w:r w:rsidR="001A1619">
        <w:rPr>
          <w:iCs/>
          <w:sz w:val="24"/>
        </w:rPr>
        <w:t>e</w:t>
      </w:r>
      <w:r w:rsidR="00C447D1">
        <w:rPr>
          <w:iCs/>
          <w:sz w:val="24"/>
        </w:rPr>
        <w:t> zpoždění přípravy legislativních návrhů</w:t>
      </w:r>
      <w:r w:rsidRPr="00715EB1">
        <w:rPr>
          <w:iCs/>
          <w:sz w:val="24"/>
        </w:rPr>
        <w:t xml:space="preserve"> </w:t>
      </w:r>
      <w:r w:rsidR="00C447D1">
        <w:rPr>
          <w:iCs/>
          <w:sz w:val="24"/>
        </w:rPr>
        <w:t xml:space="preserve">EU </w:t>
      </w:r>
      <w:r w:rsidRPr="00715EB1">
        <w:rPr>
          <w:iCs/>
          <w:sz w:val="24"/>
        </w:rPr>
        <w:t>na nové programové období 2014-2020 je zřejmé, že nebude možné začít implementovat nový Program rozvoje venkova od roku 2014. Legislativní návrhy nařízení Rady a Evropského parlamentu k</w:t>
      </w:r>
      <w:r>
        <w:rPr>
          <w:iCs/>
          <w:sz w:val="24"/>
        </w:rPr>
        <w:t> </w:t>
      </w:r>
      <w:r w:rsidRPr="00715EB1">
        <w:rPr>
          <w:iCs/>
          <w:sz w:val="24"/>
        </w:rPr>
        <w:t>E</w:t>
      </w:r>
      <w:r>
        <w:rPr>
          <w:iCs/>
          <w:sz w:val="24"/>
        </w:rPr>
        <w:t>vropským strukturálním a</w:t>
      </w:r>
      <w:r w:rsidR="00B01AA7">
        <w:rPr>
          <w:iCs/>
          <w:sz w:val="24"/>
        </w:rPr>
        <w:t> </w:t>
      </w:r>
      <w:r>
        <w:rPr>
          <w:iCs/>
          <w:sz w:val="24"/>
        </w:rPr>
        <w:t>investičním fondům</w:t>
      </w:r>
      <w:r w:rsidRPr="00715EB1">
        <w:rPr>
          <w:iCs/>
          <w:sz w:val="24"/>
        </w:rPr>
        <w:t xml:space="preserve"> a </w:t>
      </w:r>
      <w:r>
        <w:rPr>
          <w:iCs/>
          <w:sz w:val="24"/>
        </w:rPr>
        <w:t>Společné zemědělské politice EU</w:t>
      </w:r>
      <w:r w:rsidRPr="00715EB1">
        <w:rPr>
          <w:iCs/>
          <w:sz w:val="24"/>
        </w:rPr>
        <w:t xml:space="preserve"> budou schv</w:t>
      </w:r>
      <w:r w:rsidR="00C447D1">
        <w:rPr>
          <w:iCs/>
          <w:sz w:val="24"/>
        </w:rPr>
        <w:t xml:space="preserve">áleny nejdříve v listopadu </w:t>
      </w:r>
      <w:r w:rsidRPr="00715EB1">
        <w:rPr>
          <w:iCs/>
          <w:sz w:val="24"/>
        </w:rPr>
        <w:t xml:space="preserve">2013 a poté musí následovat schválení Implementačních a Delegovaných aktů. </w:t>
      </w:r>
    </w:p>
    <w:p w:rsidR="00C447D1" w:rsidRPr="00C447D1" w:rsidRDefault="00C447D1" w:rsidP="00913E8F">
      <w:pPr>
        <w:spacing w:after="240"/>
        <w:ind w:firstLine="567"/>
        <w:jc w:val="both"/>
        <w:rPr>
          <w:iCs/>
          <w:sz w:val="24"/>
        </w:rPr>
      </w:pPr>
      <w:r w:rsidRPr="00C447D1">
        <w:rPr>
          <w:iCs/>
          <w:sz w:val="24"/>
        </w:rPr>
        <w:t xml:space="preserve">S ohledem na </w:t>
      </w:r>
      <w:r>
        <w:rPr>
          <w:iCs/>
          <w:sz w:val="24"/>
        </w:rPr>
        <w:t xml:space="preserve">toto </w:t>
      </w:r>
      <w:r w:rsidRPr="00C447D1">
        <w:rPr>
          <w:iCs/>
          <w:sz w:val="24"/>
        </w:rPr>
        <w:t>zpoždění je připravován návrh nařízení Evropského parlamentu a Rady, kterým se stanoví některá přechodná ustanovení o podpoře pro rozvoj venkova z Evropského zemědělského fondu pro rozvoj venkova (EZFRV)</w:t>
      </w:r>
      <w:r>
        <w:rPr>
          <w:iCs/>
          <w:sz w:val="24"/>
        </w:rPr>
        <w:t>,</w:t>
      </w:r>
      <w:r w:rsidRPr="00C447D1">
        <w:rPr>
          <w:i/>
          <w:iCs/>
          <w:sz w:val="24"/>
        </w:rPr>
        <w:t xml:space="preserve"> </w:t>
      </w:r>
      <w:r w:rsidRPr="00C447D1">
        <w:rPr>
          <w:iCs/>
          <w:sz w:val="24"/>
        </w:rPr>
        <w:t>tzv. přechodové nařízení.</w:t>
      </w:r>
    </w:p>
    <w:p w:rsidR="00C447D1" w:rsidRPr="00C447D1" w:rsidRDefault="00C447D1" w:rsidP="00913E8F">
      <w:pPr>
        <w:spacing w:after="240"/>
        <w:ind w:firstLine="567"/>
        <w:jc w:val="both"/>
        <w:rPr>
          <w:iCs/>
          <w:sz w:val="24"/>
        </w:rPr>
      </w:pPr>
      <w:r w:rsidRPr="00C447D1">
        <w:rPr>
          <w:iCs/>
          <w:sz w:val="24"/>
        </w:rPr>
        <w:t>Toto přechodové nařízení mimo jiné umožňuje poskytovat platby LFA v roce 2014 dle současných podmínek a současného vymezení, tj. v souladu s Programem rozvoje venkova 2007-2013, nicméně plně financované již z nového rozpočtu PRV 2014-2020. Z článku 1 odst. 2 kapitoly 1 tohoto přechodového nařízení vyplývá, že členský stát při poskytování plateb nesmí používat podmínku stanovenou v čl. 14 odst. 2 druhé odrážky nařízení Rady (</w:t>
      </w:r>
      <w:r w:rsidR="001A1619">
        <w:rPr>
          <w:iCs/>
          <w:sz w:val="24"/>
        </w:rPr>
        <w:t>ES</w:t>
      </w:r>
      <w:r w:rsidRPr="00C447D1">
        <w:rPr>
          <w:iCs/>
          <w:sz w:val="24"/>
        </w:rPr>
        <w:t xml:space="preserve">) č. 1257/1999. V rámci navrhované úpravy se Česká republika snaží i s ohledem na národní legislativu, kterou je dané opatření implementováno, ukázat propojenost dané podmínky s konkrétním článkem nařízení Rady.   </w:t>
      </w:r>
    </w:p>
    <w:p w:rsidR="00C447D1" w:rsidRDefault="00C447D1" w:rsidP="00913E8F">
      <w:pPr>
        <w:spacing w:after="240"/>
        <w:ind w:firstLine="567"/>
        <w:jc w:val="both"/>
        <w:rPr>
          <w:iCs/>
          <w:sz w:val="24"/>
        </w:rPr>
      </w:pPr>
      <w:r>
        <w:rPr>
          <w:iCs/>
          <w:sz w:val="24"/>
        </w:rPr>
        <w:t>Pro zajištění kontinuálního naplňování cílů PRV a poskytování podpor v oblastech s přírodním znevýhodněním a oblastech Natura 2000 i v roce 2014 jsou v rámci programového dokumentu provedeny níže uvedené úpravy.</w:t>
      </w:r>
    </w:p>
    <w:p w:rsidR="00913E8F" w:rsidRPr="00715EB1" w:rsidRDefault="00913E8F" w:rsidP="00913E8F">
      <w:pPr>
        <w:spacing w:after="240"/>
        <w:ind w:firstLine="567"/>
        <w:jc w:val="both"/>
        <w:rPr>
          <w:iCs/>
          <w:sz w:val="24"/>
        </w:rPr>
      </w:pPr>
      <w:r>
        <w:rPr>
          <w:iCs/>
          <w:sz w:val="24"/>
        </w:rPr>
        <w:t xml:space="preserve">Zároveň </w:t>
      </w:r>
      <w:r w:rsidR="001A1619">
        <w:rPr>
          <w:iCs/>
          <w:sz w:val="24"/>
        </w:rPr>
        <w:t xml:space="preserve">je </w:t>
      </w:r>
      <w:r>
        <w:rPr>
          <w:iCs/>
          <w:sz w:val="24"/>
        </w:rPr>
        <w:t xml:space="preserve">vzhledem k blížícímu se konci programového období a aktuálnímu stavu čerpání rozpočtu osy II PRV v rámci </w:t>
      </w:r>
      <w:r w:rsidR="005073DD">
        <w:rPr>
          <w:iCs/>
          <w:sz w:val="24"/>
        </w:rPr>
        <w:t>10</w:t>
      </w:r>
      <w:r>
        <w:rPr>
          <w:iCs/>
          <w:sz w:val="24"/>
        </w:rPr>
        <w:t>. modifikace předložen návrh na změny alokací některých opatření tak, aby finanční částky v rozpočtu na jednotlivá opatření pokryly primárně již závazkované žádosti registrované do r. 2013.</w:t>
      </w:r>
      <w:r w:rsidR="005B7197">
        <w:rPr>
          <w:iCs/>
          <w:sz w:val="24"/>
        </w:rPr>
        <w:t xml:space="preserve"> Jak je uvedeno</w:t>
      </w:r>
      <w:r w:rsidR="005B7197" w:rsidRPr="005B7197">
        <w:rPr>
          <w:iCs/>
          <w:sz w:val="24"/>
        </w:rPr>
        <w:t xml:space="preserve"> </w:t>
      </w:r>
      <w:r w:rsidR="005B7197">
        <w:rPr>
          <w:iCs/>
          <w:sz w:val="24"/>
        </w:rPr>
        <w:t>výše, v souladu s přechodovým nařízením bude</w:t>
      </w:r>
      <w:r>
        <w:rPr>
          <w:iCs/>
          <w:sz w:val="24"/>
        </w:rPr>
        <w:t xml:space="preserve"> možné </w:t>
      </w:r>
      <w:r w:rsidRPr="00C447D1">
        <w:rPr>
          <w:iCs/>
          <w:sz w:val="24"/>
        </w:rPr>
        <w:t xml:space="preserve">poskytovat platby dle současných podmínek a současného vymezení, nicméně plně financované již z nového rozpočtu PRV 2014-2020. </w:t>
      </w:r>
      <w:r>
        <w:rPr>
          <w:iCs/>
          <w:sz w:val="24"/>
        </w:rPr>
        <w:t xml:space="preserve">Z nového rozpočtu (dle Víceletého finančního rámce EU) budou financovány žádosti současného programového období, na které nejsou dostatečné finanční prostředky. Zásadní pro čerpání nového rozpočtu je finanční ukončení opatření dle PRV 2007-2013. </w:t>
      </w:r>
      <w:r>
        <w:rPr>
          <w:iCs/>
          <w:sz w:val="24"/>
        </w:rPr>
        <w:lastRenderedPageBreak/>
        <w:t>Předkládané změny jsou navrhovány tak, aby byl optimálně zajištěn hladký přechod stávajícího a</w:t>
      </w:r>
      <w:r w:rsidR="00B01AA7">
        <w:rPr>
          <w:iCs/>
          <w:sz w:val="24"/>
        </w:rPr>
        <w:t> </w:t>
      </w:r>
      <w:r>
        <w:rPr>
          <w:iCs/>
          <w:sz w:val="24"/>
        </w:rPr>
        <w:t xml:space="preserve">nového programového období a zároveň se předešlo riziku nedočerpání a příp. vrácení finančních prostředků EZFRV alokovaných </w:t>
      </w:r>
      <w:r w:rsidR="00851915">
        <w:rPr>
          <w:iCs/>
          <w:sz w:val="24"/>
        </w:rPr>
        <w:t xml:space="preserve">na </w:t>
      </w:r>
      <w:r>
        <w:rPr>
          <w:iCs/>
          <w:sz w:val="24"/>
        </w:rPr>
        <w:t>PRV ČR.</w:t>
      </w:r>
    </w:p>
    <w:p w:rsidR="005B7197" w:rsidRDefault="005B7197" w:rsidP="005B7197">
      <w:pPr>
        <w:spacing w:after="120"/>
        <w:jc w:val="both"/>
        <w:rPr>
          <w:b/>
          <w:color w:val="4F6228" w:themeColor="accent3" w:themeShade="80"/>
          <w:sz w:val="24"/>
        </w:rPr>
      </w:pPr>
    </w:p>
    <w:p w:rsidR="005B7197" w:rsidRPr="005B7197" w:rsidRDefault="005B7197" w:rsidP="005B7197">
      <w:pPr>
        <w:spacing w:after="120"/>
        <w:jc w:val="both"/>
        <w:rPr>
          <w:b/>
          <w:sz w:val="24"/>
        </w:rPr>
      </w:pPr>
      <w:r w:rsidRPr="005B7197">
        <w:rPr>
          <w:b/>
          <w:sz w:val="24"/>
        </w:rPr>
        <w:t>Navrhované změny:</w:t>
      </w:r>
    </w:p>
    <w:p w:rsidR="005B7197" w:rsidRPr="005B7197" w:rsidRDefault="005B7197" w:rsidP="005B7197">
      <w:pPr>
        <w:pStyle w:val="Odstavecseseznamem"/>
        <w:numPr>
          <w:ilvl w:val="0"/>
          <w:numId w:val="21"/>
        </w:numPr>
        <w:spacing w:after="120"/>
        <w:jc w:val="both"/>
        <w:rPr>
          <w:b/>
          <w:sz w:val="24"/>
          <w:u w:val="single"/>
        </w:rPr>
      </w:pPr>
      <w:r>
        <w:rPr>
          <w:b/>
          <w:sz w:val="24"/>
          <w:u w:val="single"/>
        </w:rPr>
        <w:t>Technické ú</w:t>
      </w:r>
      <w:r w:rsidRPr="005B7197">
        <w:rPr>
          <w:b/>
          <w:sz w:val="24"/>
          <w:u w:val="single"/>
        </w:rPr>
        <w:t>pravy textu programového dokumentu</w:t>
      </w:r>
      <w:r>
        <w:rPr>
          <w:b/>
          <w:sz w:val="24"/>
          <w:u w:val="single"/>
        </w:rPr>
        <w:t xml:space="preserve"> vztahující se </w:t>
      </w:r>
      <w:r w:rsidR="001A1619">
        <w:rPr>
          <w:b/>
          <w:sz w:val="24"/>
          <w:u w:val="single"/>
        </w:rPr>
        <w:t xml:space="preserve">k </w:t>
      </w:r>
      <w:r>
        <w:rPr>
          <w:b/>
          <w:sz w:val="24"/>
          <w:u w:val="single"/>
        </w:rPr>
        <w:t>podmínkám poskytování podpor</w:t>
      </w:r>
    </w:p>
    <w:p w:rsidR="005B7197" w:rsidRDefault="005B7197" w:rsidP="00DA59A0">
      <w:pPr>
        <w:spacing w:after="120"/>
        <w:jc w:val="both"/>
        <w:rPr>
          <w:b/>
          <w:color w:val="4F6228" w:themeColor="accent3" w:themeShade="80"/>
          <w:sz w:val="24"/>
        </w:rPr>
      </w:pPr>
    </w:p>
    <w:p w:rsidR="00DA59A0" w:rsidRPr="00DA59A0" w:rsidRDefault="00DE6239" w:rsidP="00DA59A0">
      <w:pPr>
        <w:spacing w:after="120"/>
        <w:jc w:val="both"/>
        <w:rPr>
          <w:b/>
          <w:color w:val="4F6228" w:themeColor="accent3" w:themeShade="80"/>
          <w:sz w:val="24"/>
        </w:rPr>
      </w:pPr>
      <w:r w:rsidRPr="00DE6239">
        <w:rPr>
          <w:b/>
          <w:color w:val="4F6228" w:themeColor="accent3" w:themeShade="80"/>
          <w:sz w:val="24"/>
        </w:rPr>
        <w:t xml:space="preserve">Opatření </w:t>
      </w:r>
      <w:r w:rsidR="00DA59A0" w:rsidRPr="00DA59A0">
        <w:rPr>
          <w:b/>
          <w:color w:val="4F6228" w:themeColor="accent3" w:themeShade="80"/>
          <w:sz w:val="24"/>
        </w:rPr>
        <w:t>II.1.1 Platby za přírodní znevýhodnění poskytované v horských oblastech a platby poskytované v jiných znevýhodněných oblastech (LFA) (kód 211, 212)</w:t>
      </w:r>
    </w:p>
    <w:p w:rsidR="00DA59A0" w:rsidRDefault="00DA59A0" w:rsidP="005B7197">
      <w:pPr>
        <w:spacing w:after="240"/>
        <w:ind w:firstLine="567"/>
        <w:jc w:val="both"/>
        <w:rPr>
          <w:iCs/>
          <w:sz w:val="24"/>
        </w:rPr>
      </w:pPr>
      <w:r w:rsidRPr="00DA59A0">
        <w:rPr>
          <w:iCs/>
          <w:sz w:val="24"/>
        </w:rPr>
        <w:t>Jedná se pouze o tec</w:t>
      </w:r>
      <w:r w:rsidR="00B01AA7">
        <w:rPr>
          <w:iCs/>
          <w:sz w:val="24"/>
        </w:rPr>
        <w:t xml:space="preserve">hnickou úpravu textu podmínky 5-ti </w:t>
      </w:r>
      <w:r w:rsidRPr="00DA59A0">
        <w:rPr>
          <w:iCs/>
          <w:sz w:val="24"/>
        </w:rPr>
        <w:t>letého udržení hospodaření v LFA oblastech, která spočívá v doplnění odkazu na čl. 14 odst. 2 druhou odrážku nařízení Rady (ES) č.</w:t>
      </w:r>
      <w:r w:rsidR="00B01AA7">
        <w:rPr>
          <w:iCs/>
          <w:sz w:val="24"/>
        </w:rPr>
        <w:t> </w:t>
      </w:r>
      <w:r w:rsidRPr="00DA59A0">
        <w:rPr>
          <w:iCs/>
          <w:sz w:val="24"/>
        </w:rPr>
        <w:t>1257/1999. Podmínka 5</w:t>
      </w:r>
      <w:r w:rsidR="00B01AA7">
        <w:rPr>
          <w:iCs/>
          <w:sz w:val="24"/>
        </w:rPr>
        <w:t xml:space="preserve">-ti </w:t>
      </w:r>
      <w:r w:rsidRPr="00DA59A0">
        <w:rPr>
          <w:iCs/>
          <w:sz w:val="24"/>
        </w:rPr>
        <w:t xml:space="preserve">letého udržení hospodaření zůstává nadále zachována a vyžadována. </w:t>
      </w:r>
    </w:p>
    <w:p w:rsidR="00DA59A0" w:rsidRDefault="00DA59A0" w:rsidP="005B7197">
      <w:pPr>
        <w:spacing w:after="240"/>
        <w:jc w:val="both"/>
        <w:rPr>
          <w:iCs/>
          <w:sz w:val="24"/>
        </w:rPr>
      </w:pPr>
      <w:r>
        <w:rPr>
          <w:iCs/>
          <w:sz w:val="24"/>
        </w:rPr>
        <w:t>Konkrétní navrhovaná změna textu:</w:t>
      </w:r>
    </w:p>
    <w:p w:rsidR="00DA59A0" w:rsidRPr="004F17B6" w:rsidRDefault="00DA59A0" w:rsidP="00692D32">
      <w:pPr>
        <w:pBdr>
          <w:top w:val="single" w:sz="4" w:space="1" w:color="auto"/>
          <w:left w:val="single" w:sz="4" w:space="4" w:color="auto"/>
          <w:bottom w:val="single" w:sz="4" w:space="1" w:color="auto"/>
          <w:right w:val="single" w:sz="4" w:space="4" w:color="auto"/>
        </w:pBdr>
      </w:pPr>
      <w:r w:rsidRPr="004F17B6">
        <w:t>Žadatel o podporu musí splňovat následující podmínky:</w:t>
      </w:r>
    </w:p>
    <w:p w:rsidR="00DA59A0" w:rsidRPr="004F17B6" w:rsidRDefault="00DA59A0" w:rsidP="00692D32">
      <w:pPr>
        <w:pStyle w:val="Odstavecseseznamem"/>
        <w:numPr>
          <w:ilvl w:val="0"/>
          <w:numId w:val="19"/>
        </w:numPr>
        <w:pBdr>
          <w:top w:val="single" w:sz="4" w:space="1" w:color="auto"/>
          <w:left w:val="single" w:sz="4" w:space="4" w:color="auto"/>
          <w:bottom w:val="single" w:sz="4" w:space="1" w:color="auto"/>
          <w:right w:val="single" w:sz="4" w:space="4" w:color="auto"/>
        </w:pBdr>
        <w:jc w:val="both"/>
      </w:pPr>
      <w:r w:rsidRPr="004F17B6">
        <w:t>Musí hospodařit nejméně na 1 ha zemědělské půdy s kulturou travní porost v méně příznivých oblastech (LFA).</w:t>
      </w:r>
    </w:p>
    <w:p w:rsidR="00DA59A0" w:rsidRPr="004F17B6" w:rsidRDefault="00DA59A0" w:rsidP="00692D32">
      <w:pPr>
        <w:pStyle w:val="Odstavecseseznamem"/>
        <w:numPr>
          <w:ilvl w:val="0"/>
          <w:numId w:val="19"/>
        </w:numPr>
        <w:pBdr>
          <w:top w:val="single" w:sz="4" w:space="1" w:color="auto"/>
          <w:left w:val="single" w:sz="4" w:space="4" w:color="auto"/>
          <w:bottom w:val="single" w:sz="4" w:space="1" w:color="auto"/>
          <w:right w:val="single" w:sz="4" w:space="4" w:color="auto"/>
        </w:pBdr>
        <w:jc w:val="both"/>
      </w:pPr>
      <w:r w:rsidRPr="004F17B6">
        <w:t>Musí vstoupit do opatření minimálně s 1 ha zemědělské půdy s kulturou travní porost.</w:t>
      </w:r>
    </w:p>
    <w:p w:rsidR="00DA59A0" w:rsidRPr="004F17B6" w:rsidRDefault="00DA59A0" w:rsidP="00692D32">
      <w:pPr>
        <w:pStyle w:val="Odstavecseseznamem"/>
        <w:numPr>
          <w:ilvl w:val="0"/>
          <w:numId w:val="19"/>
        </w:numPr>
        <w:pBdr>
          <w:top w:val="single" w:sz="4" w:space="1" w:color="auto"/>
          <w:left w:val="single" w:sz="4" w:space="4" w:color="auto"/>
          <w:bottom w:val="single" w:sz="4" w:space="1" w:color="auto"/>
          <w:right w:val="single" w:sz="4" w:space="4" w:color="auto"/>
        </w:pBdr>
        <w:jc w:val="both"/>
      </w:pPr>
      <w:r w:rsidRPr="004F17B6">
        <w:t xml:space="preserve">Musí se </w:t>
      </w:r>
      <w:r w:rsidRPr="004F17B6">
        <w:rPr>
          <w:color w:val="FF0000"/>
          <w:u w:val="single"/>
        </w:rPr>
        <w:t>v souladu s čl. 14 odst. 2 d</w:t>
      </w:r>
      <w:r>
        <w:rPr>
          <w:color w:val="FF0000"/>
          <w:u w:val="single"/>
        </w:rPr>
        <w:t>ruhou odrážkou nařízení Rady (ES</w:t>
      </w:r>
      <w:r w:rsidRPr="004F17B6">
        <w:rPr>
          <w:color w:val="FF0000"/>
          <w:u w:val="single"/>
        </w:rPr>
        <w:t>) č. 1257/1999</w:t>
      </w:r>
      <w:r w:rsidRPr="004F17B6">
        <w:rPr>
          <w:color w:val="00B050"/>
        </w:rPr>
        <w:t xml:space="preserve"> </w:t>
      </w:r>
      <w:r w:rsidRPr="004F17B6">
        <w:t xml:space="preserve">zavázat, že bude provozovat zemědělskou činnost </w:t>
      </w:r>
      <w:r w:rsidRPr="00961CBA">
        <w:rPr>
          <w:strike/>
          <w:color w:val="FF0000"/>
        </w:rPr>
        <w:t>nejméně po dobu 5 kalendářních let následujících po roce, za který mu bude poprvé poskytnuta platba</w:t>
      </w:r>
      <w:r w:rsidRPr="00961CBA">
        <w:rPr>
          <w:color w:val="FF0000"/>
        </w:rPr>
        <w:t>,</w:t>
      </w:r>
      <w:r w:rsidRPr="004F17B6">
        <w:t xml:space="preserve"> a to nejméně v rozsahu minimální výměry v LFA pro vstup do opatření.</w:t>
      </w:r>
    </w:p>
    <w:p w:rsidR="00DA59A0" w:rsidRPr="004F17B6" w:rsidRDefault="00DA59A0" w:rsidP="00692D32">
      <w:pPr>
        <w:pStyle w:val="Odstavecseseznamem"/>
        <w:numPr>
          <w:ilvl w:val="0"/>
          <w:numId w:val="19"/>
        </w:numPr>
        <w:pBdr>
          <w:top w:val="single" w:sz="4" w:space="1" w:color="auto"/>
          <w:left w:val="single" w:sz="4" w:space="4" w:color="auto"/>
          <w:bottom w:val="single" w:sz="4" w:space="1" w:color="auto"/>
          <w:right w:val="single" w:sz="4" w:space="4" w:color="auto"/>
        </w:pBdr>
        <w:jc w:val="both"/>
      </w:pPr>
      <w:r w:rsidRPr="004F17B6">
        <w:t>V oblastech Sx může o poskytnutí platby požádat pouze ten žadatel, kterému byl poskytnut vyrovnávací příspěvek v programovém období 2004 - 2006.</w:t>
      </w:r>
    </w:p>
    <w:p w:rsidR="00DA59A0" w:rsidRPr="00DA59A0" w:rsidRDefault="00DA59A0" w:rsidP="00DA59A0">
      <w:pPr>
        <w:spacing w:after="240" w:line="276" w:lineRule="auto"/>
        <w:ind w:firstLine="567"/>
        <w:jc w:val="both"/>
        <w:rPr>
          <w:iCs/>
          <w:sz w:val="24"/>
        </w:rPr>
      </w:pPr>
    </w:p>
    <w:p w:rsidR="00DA59A0" w:rsidRDefault="00DA59A0" w:rsidP="00DA59A0">
      <w:pPr>
        <w:autoSpaceDE w:val="0"/>
        <w:autoSpaceDN w:val="0"/>
        <w:adjustRightInd w:val="0"/>
        <w:spacing w:after="240"/>
        <w:jc w:val="both"/>
        <w:rPr>
          <w:b/>
          <w:color w:val="4F6228" w:themeColor="accent3" w:themeShade="80"/>
          <w:sz w:val="24"/>
        </w:rPr>
      </w:pPr>
      <w:r w:rsidRPr="00DA59A0">
        <w:rPr>
          <w:b/>
          <w:color w:val="4F6228" w:themeColor="accent3" w:themeShade="80"/>
          <w:sz w:val="24"/>
        </w:rPr>
        <w:t>Opatření II.1.2 Platby v rámci oblastí NATURA 2000 a Rámcové směrnice pro vodní politiku 2000/60/ES (WFD) (kód 213)</w:t>
      </w:r>
    </w:p>
    <w:p w:rsidR="00DA59A0" w:rsidRPr="00DA59A0" w:rsidRDefault="00DA59A0" w:rsidP="005B7197">
      <w:pPr>
        <w:spacing w:after="240"/>
        <w:ind w:firstLine="567"/>
        <w:jc w:val="both"/>
        <w:rPr>
          <w:iCs/>
          <w:sz w:val="24"/>
        </w:rPr>
      </w:pPr>
      <w:r w:rsidRPr="00DA59A0">
        <w:rPr>
          <w:iCs/>
          <w:sz w:val="24"/>
        </w:rPr>
        <w:t>Platby zemědělcům hospodařícím v oblastech Natura 2000 na z.p. se poskytují ročně a</w:t>
      </w:r>
      <w:r w:rsidR="00B01AA7">
        <w:rPr>
          <w:iCs/>
          <w:sz w:val="24"/>
        </w:rPr>
        <w:t> </w:t>
      </w:r>
      <w:r w:rsidRPr="00DA59A0">
        <w:rPr>
          <w:iCs/>
          <w:sz w:val="24"/>
        </w:rPr>
        <w:t xml:space="preserve">kompenzují zvýšené náklady a ušlé příjmy v důsledku hospodaření v oblastech Natura 2000. </w:t>
      </w:r>
    </w:p>
    <w:p w:rsidR="00DA59A0" w:rsidRPr="00DA59A0" w:rsidRDefault="00DA59A0" w:rsidP="005B7197">
      <w:pPr>
        <w:spacing w:after="240"/>
        <w:ind w:firstLine="567"/>
        <w:jc w:val="both"/>
        <w:rPr>
          <w:iCs/>
          <w:sz w:val="24"/>
        </w:rPr>
      </w:pPr>
      <w:r w:rsidRPr="00DA59A0">
        <w:rPr>
          <w:iCs/>
          <w:sz w:val="24"/>
        </w:rPr>
        <w:t xml:space="preserve">Absorpční kapacita </w:t>
      </w:r>
      <w:r w:rsidR="001A1619">
        <w:rPr>
          <w:iCs/>
          <w:sz w:val="24"/>
        </w:rPr>
        <w:t>pod</w:t>
      </w:r>
      <w:r w:rsidRPr="00DA59A0">
        <w:rPr>
          <w:iCs/>
          <w:sz w:val="24"/>
        </w:rPr>
        <w:t xml:space="preserve">opatření je již vzhledem k očekávané výměře naplněna, z hodnocení tohoto podopatření vyplývá, že je již téměř vyčerpán okruh možných žadatelů. Tito žadatelé zároveň již mají závazek hospodaření splněn. </w:t>
      </w:r>
    </w:p>
    <w:p w:rsidR="00DA59A0" w:rsidRPr="00DA59A0" w:rsidRDefault="00DA59A0" w:rsidP="005B7197">
      <w:pPr>
        <w:spacing w:after="240"/>
        <w:ind w:firstLine="567"/>
        <w:jc w:val="both"/>
        <w:rPr>
          <w:iCs/>
          <w:sz w:val="24"/>
        </w:rPr>
      </w:pPr>
      <w:r w:rsidRPr="00DA59A0">
        <w:rPr>
          <w:iCs/>
          <w:sz w:val="24"/>
        </w:rPr>
        <w:t xml:space="preserve">Konkrétně se jedná o odstranění podmínky 5 letého udržení hospodaření v oblastech Natura 2000 po obdržení první platby. Tato podmínka byla stanovena s ohledem na zajištění kontinuity s opatřením II.1.1 (LFA), které je rovněž kompenzačního charakteru. </w:t>
      </w:r>
    </w:p>
    <w:p w:rsidR="00DA59A0" w:rsidRDefault="00DA59A0" w:rsidP="005B7197">
      <w:pPr>
        <w:spacing w:after="240"/>
        <w:ind w:firstLine="567"/>
        <w:jc w:val="both"/>
        <w:rPr>
          <w:iCs/>
          <w:sz w:val="24"/>
        </w:rPr>
      </w:pPr>
      <w:r w:rsidRPr="00DA59A0">
        <w:rPr>
          <w:iCs/>
          <w:sz w:val="24"/>
        </w:rPr>
        <w:t xml:space="preserve">Nepředpokládá se, že změna může mít dopad na naplnění stanovených cílů </w:t>
      </w:r>
      <w:r w:rsidR="001A1619">
        <w:rPr>
          <w:iCs/>
          <w:sz w:val="24"/>
        </w:rPr>
        <w:t>pod</w:t>
      </w:r>
      <w:r w:rsidRPr="00DA59A0">
        <w:rPr>
          <w:iCs/>
          <w:sz w:val="24"/>
        </w:rPr>
        <w:t>opatření a</w:t>
      </w:r>
      <w:r w:rsidR="00B01AA7">
        <w:rPr>
          <w:iCs/>
          <w:sz w:val="24"/>
        </w:rPr>
        <w:t> </w:t>
      </w:r>
      <w:r w:rsidRPr="00DA59A0">
        <w:rPr>
          <w:iCs/>
          <w:sz w:val="24"/>
        </w:rPr>
        <w:t>hospodaření v oblastech Natura 2000.</w:t>
      </w:r>
    </w:p>
    <w:p w:rsidR="00B01AA7" w:rsidRDefault="00B01AA7">
      <w:pPr>
        <w:rPr>
          <w:iCs/>
          <w:sz w:val="24"/>
        </w:rPr>
      </w:pPr>
      <w:r>
        <w:rPr>
          <w:iCs/>
          <w:sz w:val="24"/>
        </w:rPr>
        <w:br w:type="page"/>
      </w:r>
    </w:p>
    <w:p w:rsidR="00692D32" w:rsidRDefault="00692D32" w:rsidP="005B7197">
      <w:pPr>
        <w:spacing w:after="240"/>
        <w:jc w:val="both"/>
        <w:rPr>
          <w:iCs/>
          <w:sz w:val="24"/>
        </w:rPr>
      </w:pPr>
      <w:r>
        <w:rPr>
          <w:iCs/>
          <w:sz w:val="24"/>
        </w:rPr>
        <w:lastRenderedPageBreak/>
        <w:t>Konkrétní navrhovaná změna textu:</w:t>
      </w:r>
    </w:p>
    <w:p w:rsidR="00692D32" w:rsidRPr="00654FF2" w:rsidRDefault="00692D32" w:rsidP="00692D32">
      <w:pPr>
        <w:pBdr>
          <w:top w:val="single" w:sz="4" w:space="1" w:color="auto"/>
          <w:left w:val="single" w:sz="4" w:space="4" w:color="auto"/>
          <w:bottom w:val="single" w:sz="4" w:space="1" w:color="auto"/>
          <w:right w:val="single" w:sz="4" w:space="4" w:color="auto"/>
        </w:pBdr>
        <w:autoSpaceDE w:val="0"/>
        <w:autoSpaceDN w:val="0"/>
        <w:adjustRightInd w:val="0"/>
      </w:pPr>
      <w:r w:rsidRPr="00654FF2">
        <w:t>Žadatel o podporu musí splňovat následující podmínky:</w:t>
      </w:r>
    </w:p>
    <w:p w:rsidR="00692D32" w:rsidRPr="004F17B6" w:rsidRDefault="00692D32" w:rsidP="00692D32">
      <w:pPr>
        <w:pStyle w:val="Odstavecseseznamem"/>
        <w:numPr>
          <w:ilvl w:val="0"/>
          <w:numId w:val="19"/>
        </w:numPr>
        <w:pBdr>
          <w:top w:val="single" w:sz="4" w:space="1" w:color="auto"/>
          <w:left w:val="single" w:sz="4" w:space="4" w:color="auto"/>
          <w:bottom w:val="single" w:sz="4" w:space="1" w:color="auto"/>
          <w:right w:val="single" w:sz="4" w:space="4" w:color="auto"/>
        </w:pBdr>
        <w:jc w:val="both"/>
      </w:pPr>
      <w:r w:rsidRPr="004F17B6">
        <w:t>Musí hospodařit nejméně na 1 ha zemědělské půdy s kulturou travní porost v oblasti území Natura 2000 v</w:t>
      </w:r>
      <w:r w:rsidR="00B01AA7">
        <w:t> </w:t>
      </w:r>
      <w:r w:rsidRPr="004F17B6">
        <w:t>1. zónách NP a CHKO.</w:t>
      </w:r>
    </w:p>
    <w:p w:rsidR="00692D32" w:rsidRPr="004F17B6" w:rsidRDefault="00692D32" w:rsidP="00692D32">
      <w:pPr>
        <w:pStyle w:val="Odstavecseseznamem"/>
        <w:numPr>
          <w:ilvl w:val="0"/>
          <w:numId w:val="19"/>
        </w:numPr>
        <w:pBdr>
          <w:top w:val="single" w:sz="4" w:space="1" w:color="auto"/>
          <w:left w:val="single" w:sz="4" w:space="4" w:color="auto"/>
          <w:bottom w:val="single" w:sz="4" w:space="1" w:color="auto"/>
          <w:right w:val="single" w:sz="4" w:space="4" w:color="auto"/>
        </w:pBdr>
        <w:jc w:val="both"/>
      </w:pPr>
      <w:r w:rsidRPr="004F17B6">
        <w:t>Musí vstoupit do podopatření minimálně s 1 ha zemědělské půdy s kulturou travní porost.</w:t>
      </w:r>
    </w:p>
    <w:p w:rsidR="00692D32" w:rsidRPr="004F17B6" w:rsidRDefault="00692D32" w:rsidP="00692D32">
      <w:pPr>
        <w:pStyle w:val="Odstavecseseznamem"/>
        <w:numPr>
          <w:ilvl w:val="0"/>
          <w:numId w:val="19"/>
        </w:numPr>
        <w:pBdr>
          <w:top w:val="single" w:sz="4" w:space="1" w:color="auto"/>
          <w:left w:val="single" w:sz="4" w:space="4" w:color="auto"/>
          <w:bottom w:val="single" w:sz="4" w:space="1" w:color="auto"/>
          <w:right w:val="single" w:sz="4" w:space="4" w:color="auto"/>
        </w:pBdr>
        <w:jc w:val="both"/>
        <w:rPr>
          <w:strike/>
          <w:color w:val="FF0000"/>
        </w:rPr>
      </w:pPr>
      <w:r w:rsidRPr="004F17B6">
        <w:rPr>
          <w:strike/>
          <w:color w:val="FF0000"/>
        </w:rPr>
        <w:t>Musí se zavázat, že bude provozovat zemědělskou činnost nejméně po dobu 5 kalendářních let následujících po roce, za který mu bude poprvé poskytnuta platba, a to nejméně v rozsahu minimální výměry pro vstup do podopatření.</w:t>
      </w:r>
    </w:p>
    <w:p w:rsidR="00DA59A0" w:rsidRDefault="00DA59A0" w:rsidP="00DA59A0">
      <w:pPr>
        <w:spacing w:after="240" w:line="276" w:lineRule="auto"/>
        <w:ind w:firstLine="567"/>
        <w:jc w:val="both"/>
        <w:rPr>
          <w:b/>
          <w:color w:val="4F6228" w:themeColor="accent3" w:themeShade="80"/>
          <w:sz w:val="24"/>
        </w:rPr>
      </w:pPr>
    </w:p>
    <w:p w:rsidR="005B7197" w:rsidRDefault="005B7197" w:rsidP="005B7197">
      <w:pPr>
        <w:pStyle w:val="Odstavecseseznamem"/>
        <w:numPr>
          <w:ilvl w:val="0"/>
          <w:numId w:val="21"/>
        </w:numPr>
        <w:spacing w:after="120"/>
        <w:jc w:val="both"/>
        <w:rPr>
          <w:b/>
          <w:sz w:val="24"/>
          <w:u w:val="single"/>
        </w:rPr>
      </w:pPr>
      <w:r>
        <w:rPr>
          <w:b/>
          <w:sz w:val="24"/>
          <w:u w:val="single"/>
        </w:rPr>
        <w:t>Návrh realokací finančních prostředků</w:t>
      </w:r>
    </w:p>
    <w:p w:rsidR="005B7197" w:rsidRDefault="005B7197" w:rsidP="005B7197">
      <w:pPr>
        <w:spacing w:after="120"/>
        <w:jc w:val="both"/>
        <w:rPr>
          <w:b/>
          <w:color w:val="4F6228" w:themeColor="accent3" w:themeShade="80"/>
          <w:sz w:val="24"/>
        </w:rPr>
      </w:pPr>
    </w:p>
    <w:p w:rsidR="005B7197" w:rsidRPr="00DE6239" w:rsidRDefault="005B7197" w:rsidP="005B7197">
      <w:pPr>
        <w:spacing w:after="120"/>
        <w:jc w:val="both"/>
        <w:rPr>
          <w:b/>
          <w:color w:val="4F6228" w:themeColor="accent3" w:themeShade="80"/>
          <w:sz w:val="24"/>
        </w:rPr>
      </w:pPr>
      <w:r w:rsidRPr="00DE6239">
        <w:rPr>
          <w:b/>
          <w:color w:val="4F6228" w:themeColor="accent3" w:themeShade="80"/>
          <w:sz w:val="24"/>
        </w:rPr>
        <w:t>Opatření II.1.3 Agroenvironmentální opatření (kód 214)</w:t>
      </w:r>
    </w:p>
    <w:p w:rsidR="005B7197" w:rsidRDefault="005B7197" w:rsidP="005B7197">
      <w:pPr>
        <w:tabs>
          <w:tab w:val="num" w:pos="1000"/>
        </w:tabs>
        <w:spacing w:after="120"/>
        <w:jc w:val="both"/>
        <w:rPr>
          <w:sz w:val="24"/>
        </w:rPr>
      </w:pPr>
      <w:r>
        <w:rPr>
          <w:sz w:val="24"/>
        </w:rPr>
        <w:t>Je navrhováno navýšení finanční alokace:</w:t>
      </w:r>
    </w:p>
    <w:p w:rsidR="005B7197" w:rsidRPr="00BB5146" w:rsidRDefault="005B7197" w:rsidP="005B7197">
      <w:pPr>
        <w:pStyle w:val="Odstavecseseznamem"/>
        <w:numPr>
          <w:ilvl w:val="0"/>
          <w:numId w:val="22"/>
        </w:numPr>
        <w:tabs>
          <w:tab w:val="num" w:pos="1000"/>
        </w:tabs>
        <w:spacing w:after="120"/>
        <w:jc w:val="both"/>
        <w:rPr>
          <w:sz w:val="24"/>
        </w:rPr>
      </w:pPr>
      <w:r>
        <w:rPr>
          <w:b/>
          <w:sz w:val="24"/>
        </w:rPr>
        <w:t xml:space="preserve">Podopatření </w:t>
      </w:r>
      <w:r w:rsidRPr="00BB5146">
        <w:rPr>
          <w:b/>
          <w:sz w:val="24"/>
        </w:rPr>
        <w:t>II.1.3.1 Postupy šetrné k životnímu prostředí</w:t>
      </w:r>
    </w:p>
    <w:tbl>
      <w:tblPr>
        <w:tblStyle w:val="Mkatabulky"/>
        <w:tblW w:w="0" w:type="auto"/>
        <w:tblLook w:val="04A0"/>
      </w:tblPr>
      <w:tblGrid>
        <w:gridCol w:w="6345"/>
        <w:gridCol w:w="2865"/>
      </w:tblGrid>
      <w:tr w:rsidR="005B7197" w:rsidRPr="00BB5146" w:rsidTr="001A1619">
        <w:tc>
          <w:tcPr>
            <w:tcW w:w="6345" w:type="dxa"/>
            <w:vAlign w:val="center"/>
          </w:tcPr>
          <w:p w:rsidR="005B7197" w:rsidRPr="00BB5146" w:rsidRDefault="005B7197" w:rsidP="001A1619">
            <w:pPr>
              <w:tabs>
                <w:tab w:val="num" w:pos="1000"/>
              </w:tabs>
              <w:rPr>
                <w:rFonts w:ascii="Times New Roman" w:hAnsi="Times New Roman"/>
                <w:sz w:val="24"/>
              </w:rPr>
            </w:pPr>
            <w:r w:rsidRPr="00BB5146">
              <w:rPr>
                <w:rFonts w:ascii="Times New Roman" w:hAnsi="Times New Roman"/>
                <w:sz w:val="24"/>
              </w:rPr>
              <w:t>Celková alokace 07-13</w:t>
            </w:r>
          </w:p>
        </w:tc>
        <w:tc>
          <w:tcPr>
            <w:tcW w:w="2865" w:type="dxa"/>
            <w:vAlign w:val="center"/>
          </w:tcPr>
          <w:p w:rsidR="005B7197" w:rsidRPr="00BB5146" w:rsidRDefault="005B7197" w:rsidP="001A1619">
            <w:pPr>
              <w:tabs>
                <w:tab w:val="num" w:pos="1000"/>
              </w:tabs>
              <w:jc w:val="right"/>
              <w:rPr>
                <w:rFonts w:ascii="Times New Roman" w:hAnsi="Times New Roman"/>
                <w:sz w:val="24"/>
              </w:rPr>
            </w:pPr>
            <w:r>
              <w:rPr>
                <w:rFonts w:ascii="Times New Roman" w:hAnsi="Times New Roman"/>
                <w:sz w:val="24"/>
              </w:rPr>
              <w:t>281,5</w:t>
            </w:r>
            <w:r w:rsidRPr="00BB5146">
              <w:rPr>
                <w:rFonts w:ascii="Times New Roman" w:hAnsi="Times New Roman"/>
                <w:sz w:val="24"/>
              </w:rPr>
              <w:t xml:space="preserve"> mil. EUR</w:t>
            </w:r>
          </w:p>
        </w:tc>
      </w:tr>
      <w:tr w:rsidR="005B7197" w:rsidRPr="00BB5146" w:rsidTr="001A1619">
        <w:tc>
          <w:tcPr>
            <w:tcW w:w="6345" w:type="dxa"/>
            <w:vAlign w:val="center"/>
          </w:tcPr>
          <w:p w:rsidR="005B7197" w:rsidRPr="00BB5146" w:rsidRDefault="005B7197" w:rsidP="001A1619">
            <w:pPr>
              <w:tabs>
                <w:tab w:val="num" w:pos="1000"/>
              </w:tabs>
              <w:rPr>
                <w:rFonts w:ascii="Times New Roman" w:hAnsi="Times New Roman"/>
                <w:sz w:val="24"/>
              </w:rPr>
            </w:pPr>
            <w:r w:rsidRPr="00BB5146">
              <w:rPr>
                <w:rFonts w:ascii="Times New Roman" w:hAnsi="Times New Roman"/>
                <w:sz w:val="24"/>
              </w:rPr>
              <w:t>Odhad závazkování (započteny registrované žádosti 2013)</w:t>
            </w:r>
          </w:p>
        </w:tc>
        <w:tc>
          <w:tcPr>
            <w:tcW w:w="2865" w:type="dxa"/>
            <w:vAlign w:val="center"/>
          </w:tcPr>
          <w:p w:rsidR="005B7197" w:rsidRPr="00BB5146" w:rsidRDefault="005B7197" w:rsidP="001A1619">
            <w:pPr>
              <w:tabs>
                <w:tab w:val="num" w:pos="1000"/>
              </w:tabs>
              <w:jc w:val="right"/>
              <w:rPr>
                <w:rFonts w:ascii="Times New Roman" w:hAnsi="Times New Roman"/>
                <w:sz w:val="24"/>
              </w:rPr>
            </w:pPr>
            <w:r>
              <w:rPr>
                <w:rFonts w:ascii="Times New Roman" w:hAnsi="Times New Roman"/>
                <w:sz w:val="24"/>
              </w:rPr>
              <w:t>355,6</w:t>
            </w:r>
            <w:r w:rsidRPr="00BB5146">
              <w:rPr>
                <w:rFonts w:ascii="Times New Roman" w:hAnsi="Times New Roman"/>
                <w:sz w:val="24"/>
              </w:rPr>
              <w:t xml:space="preserve"> mil. EUR</w:t>
            </w:r>
          </w:p>
        </w:tc>
      </w:tr>
      <w:tr w:rsidR="005B7197" w:rsidRPr="00BB5146" w:rsidTr="001A1619">
        <w:tc>
          <w:tcPr>
            <w:tcW w:w="6345" w:type="dxa"/>
            <w:vAlign w:val="center"/>
          </w:tcPr>
          <w:p w:rsidR="005B7197" w:rsidRPr="00BB5146" w:rsidRDefault="005B7197" w:rsidP="001A1619">
            <w:pPr>
              <w:tabs>
                <w:tab w:val="num" w:pos="1000"/>
              </w:tabs>
              <w:rPr>
                <w:rFonts w:ascii="Times New Roman" w:hAnsi="Times New Roman"/>
                <w:sz w:val="24"/>
              </w:rPr>
            </w:pPr>
            <w:r w:rsidRPr="00BB5146">
              <w:rPr>
                <w:rFonts w:ascii="Times New Roman" w:hAnsi="Times New Roman"/>
                <w:sz w:val="24"/>
              </w:rPr>
              <w:t>Stav po vyplacení všech závazkovaných žádostí</w:t>
            </w:r>
          </w:p>
        </w:tc>
        <w:tc>
          <w:tcPr>
            <w:tcW w:w="2865" w:type="dxa"/>
            <w:vAlign w:val="center"/>
          </w:tcPr>
          <w:p w:rsidR="005B7197" w:rsidRPr="00B2735A" w:rsidRDefault="005B7197" w:rsidP="001A1619">
            <w:pPr>
              <w:tabs>
                <w:tab w:val="num" w:pos="1000"/>
              </w:tabs>
              <w:jc w:val="right"/>
              <w:rPr>
                <w:rFonts w:ascii="Times New Roman" w:hAnsi="Times New Roman"/>
                <w:color w:val="FF0000"/>
                <w:sz w:val="24"/>
              </w:rPr>
            </w:pPr>
            <w:r w:rsidRPr="00B2735A">
              <w:rPr>
                <w:rFonts w:ascii="Times New Roman" w:hAnsi="Times New Roman"/>
                <w:color w:val="FF0000"/>
                <w:sz w:val="24"/>
              </w:rPr>
              <w:t>- 74,1 mil. EUR</w:t>
            </w:r>
          </w:p>
        </w:tc>
      </w:tr>
    </w:tbl>
    <w:p w:rsidR="005B7197" w:rsidRDefault="005B7197" w:rsidP="005B7197">
      <w:pPr>
        <w:tabs>
          <w:tab w:val="num" w:pos="1000"/>
        </w:tabs>
        <w:spacing w:after="120"/>
        <w:jc w:val="both"/>
        <w:rPr>
          <w:sz w:val="24"/>
        </w:rPr>
      </w:pPr>
    </w:p>
    <w:p w:rsidR="005B7197" w:rsidRPr="00B01AA7" w:rsidRDefault="005B7197" w:rsidP="00B01AA7">
      <w:pPr>
        <w:spacing w:after="240"/>
        <w:ind w:firstLine="567"/>
        <w:jc w:val="both"/>
        <w:rPr>
          <w:iCs/>
          <w:sz w:val="24"/>
        </w:rPr>
      </w:pPr>
      <w:r w:rsidRPr="00B01AA7">
        <w:rPr>
          <w:iCs/>
          <w:sz w:val="24"/>
        </w:rPr>
        <w:t xml:space="preserve">V rozpočtu podopatření aktuálně není dostatek finančních prostředků na všechny žádosti přijaté </w:t>
      </w:r>
      <w:r w:rsidR="001A1619" w:rsidRPr="00B01AA7">
        <w:rPr>
          <w:iCs/>
          <w:sz w:val="24"/>
        </w:rPr>
        <w:t xml:space="preserve">v </w:t>
      </w:r>
      <w:r w:rsidRPr="00B01AA7">
        <w:rPr>
          <w:iCs/>
          <w:sz w:val="24"/>
        </w:rPr>
        <w:t xml:space="preserve">r. 2013. V případě přesunu finančních prostředků ve prospěch tohoto </w:t>
      </w:r>
      <w:r w:rsidR="00655347" w:rsidRPr="00B01AA7">
        <w:rPr>
          <w:iCs/>
          <w:sz w:val="24"/>
        </w:rPr>
        <w:t>pod</w:t>
      </w:r>
      <w:r w:rsidRPr="00B01AA7">
        <w:rPr>
          <w:iCs/>
          <w:sz w:val="24"/>
        </w:rPr>
        <w:t>opatření bude možné financovat větší část žádostí přijatých v r. 2013 ze stávajícího rozpočtu. Navrhovanou změnou alokace by došlo ke snížení zatížení rozpočtu PRV 2014-2020.</w:t>
      </w:r>
    </w:p>
    <w:p w:rsidR="005B7197" w:rsidRPr="00B01AA7" w:rsidRDefault="005B7197" w:rsidP="00B01AA7">
      <w:pPr>
        <w:ind w:firstLine="567"/>
        <w:jc w:val="both"/>
        <w:rPr>
          <w:iCs/>
          <w:sz w:val="24"/>
        </w:rPr>
      </w:pPr>
      <w:r w:rsidRPr="00B01AA7">
        <w:rPr>
          <w:iCs/>
          <w:sz w:val="24"/>
        </w:rPr>
        <w:t>Ve prospěch podopatření II.1.3.1 se navrhují následující přesuny:</w:t>
      </w:r>
    </w:p>
    <w:p w:rsidR="005B7197" w:rsidRDefault="005B7197" w:rsidP="005B7197">
      <w:pPr>
        <w:pStyle w:val="Odstavecseseznamem"/>
        <w:numPr>
          <w:ilvl w:val="0"/>
          <w:numId w:val="15"/>
        </w:numPr>
        <w:spacing w:after="120"/>
        <w:contextualSpacing w:val="0"/>
        <w:jc w:val="both"/>
        <w:rPr>
          <w:sz w:val="24"/>
        </w:rPr>
      </w:pPr>
      <w:r>
        <w:rPr>
          <w:sz w:val="24"/>
        </w:rPr>
        <w:t>19,7 mil.</w:t>
      </w:r>
      <w:r w:rsidRPr="00DE6239">
        <w:rPr>
          <w:sz w:val="24"/>
        </w:rPr>
        <w:t xml:space="preserve"> EUR z II.</w:t>
      </w:r>
      <w:r>
        <w:rPr>
          <w:sz w:val="24"/>
        </w:rPr>
        <w:t>1.3.2 Ošetřování travních porostů</w:t>
      </w:r>
    </w:p>
    <w:p w:rsidR="005B7197" w:rsidRPr="00DE6239" w:rsidRDefault="005B7197" w:rsidP="005B7197">
      <w:pPr>
        <w:pStyle w:val="Odstavecseseznamem"/>
        <w:numPr>
          <w:ilvl w:val="0"/>
          <w:numId w:val="15"/>
        </w:numPr>
        <w:spacing w:after="120"/>
        <w:contextualSpacing w:val="0"/>
        <w:jc w:val="both"/>
        <w:rPr>
          <w:sz w:val="24"/>
        </w:rPr>
      </w:pPr>
      <w:r>
        <w:rPr>
          <w:sz w:val="24"/>
        </w:rPr>
        <w:t>7,4 mil. EUR z</w:t>
      </w:r>
      <w:r w:rsidR="00B01AA7">
        <w:rPr>
          <w:sz w:val="24"/>
        </w:rPr>
        <w:t xml:space="preserve"> II.2.4.1 </w:t>
      </w:r>
      <w:r w:rsidRPr="00EF0A90">
        <w:rPr>
          <w:iCs/>
          <w:sz w:val="24"/>
        </w:rPr>
        <w:t>Obnova lesního potenciálu a zavádění preventivních opatření</w:t>
      </w:r>
    </w:p>
    <w:p w:rsidR="005B7197" w:rsidRPr="00B01AA7" w:rsidRDefault="005B7197" w:rsidP="00B01AA7">
      <w:pPr>
        <w:spacing w:after="240"/>
        <w:ind w:firstLine="567"/>
        <w:jc w:val="both"/>
        <w:rPr>
          <w:iCs/>
          <w:sz w:val="24"/>
        </w:rPr>
      </w:pPr>
      <w:r w:rsidRPr="00DE6239">
        <w:rPr>
          <w:sz w:val="24"/>
        </w:rPr>
        <w:t xml:space="preserve">Celkem: </w:t>
      </w:r>
      <w:r>
        <w:rPr>
          <w:b/>
          <w:sz w:val="24"/>
        </w:rPr>
        <w:t>27,2 mil.</w:t>
      </w:r>
      <w:r w:rsidRPr="00DE6239">
        <w:rPr>
          <w:b/>
          <w:sz w:val="24"/>
        </w:rPr>
        <w:t xml:space="preserve"> EUR</w:t>
      </w:r>
      <w:r w:rsidRPr="00DE6239">
        <w:rPr>
          <w:sz w:val="24"/>
        </w:rPr>
        <w:t xml:space="preserve">, čímž dojde k navýšení celkové alokované částky z původních </w:t>
      </w:r>
      <w:r>
        <w:rPr>
          <w:sz w:val="24"/>
        </w:rPr>
        <w:t>281,5</w:t>
      </w:r>
      <w:r w:rsidR="00B01AA7">
        <w:rPr>
          <w:sz w:val="24"/>
        </w:rPr>
        <w:t> </w:t>
      </w:r>
      <w:r>
        <w:rPr>
          <w:sz w:val="24"/>
        </w:rPr>
        <w:t>mil.</w:t>
      </w:r>
      <w:r w:rsidRPr="00DE6239">
        <w:rPr>
          <w:sz w:val="24"/>
        </w:rPr>
        <w:t xml:space="preserve"> EUR na </w:t>
      </w:r>
      <w:r>
        <w:rPr>
          <w:b/>
          <w:sz w:val="24"/>
        </w:rPr>
        <w:t>308,7</w:t>
      </w:r>
      <w:r w:rsidRPr="00DE6239">
        <w:rPr>
          <w:b/>
          <w:sz w:val="24"/>
        </w:rPr>
        <w:t xml:space="preserve"> </w:t>
      </w:r>
      <w:r>
        <w:rPr>
          <w:b/>
          <w:sz w:val="24"/>
        </w:rPr>
        <w:t xml:space="preserve">mil. </w:t>
      </w:r>
      <w:r w:rsidRPr="00DE6239">
        <w:rPr>
          <w:b/>
          <w:sz w:val="24"/>
        </w:rPr>
        <w:t>EUR.</w:t>
      </w:r>
      <w:r w:rsidRPr="00DE6239">
        <w:rPr>
          <w:sz w:val="24"/>
        </w:rPr>
        <w:t xml:space="preserve"> </w:t>
      </w:r>
      <w:r>
        <w:rPr>
          <w:sz w:val="24"/>
        </w:rPr>
        <w:t>Přesunem dojde ke snížení deficitu rozpočtu opatření.</w:t>
      </w:r>
    </w:p>
    <w:p w:rsidR="005B7197" w:rsidRPr="00DE6239" w:rsidRDefault="005B7197" w:rsidP="005B7197">
      <w:pPr>
        <w:jc w:val="both"/>
        <w:rPr>
          <w:sz w:val="24"/>
          <w:highlight w:val="yellow"/>
        </w:rPr>
      </w:pPr>
    </w:p>
    <w:p w:rsidR="005B7197" w:rsidRDefault="005B7197" w:rsidP="005B7197">
      <w:pPr>
        <w:pStyle w:val="Odstavecseseznamem"/>
        <w:numPr>
          <w:ilvl w:val="0"/>
          <w:numId w:val="22"/>
        </w:numPr>
        <w:tabs>
          <w:tab w:val="num" w:pos="1000"/>
        </w:tabs>
        <w:spacing w:after="120"/>
        <w:jc w:val="both"/>
        <w:rPr>
          <w:b/>
          <w:sz w:val="24"/>
        </w:rPr>
      </w:pPr>
      <w:r w:rsidRPr="00DE6239">
        <w:rPr>
          <w:b/>
          <w:sz w:val="24"/>
        </w:rPr>
        <w:t>Podopatření II.1.3.2 Ošetřování travních porostů</w:t>
      </w:r>
    </w:p>
    <w:tbl>
      <w:tblPr>
        <w:tblStyle w:val="Mkatabulky"/>
        <w:tblW w:w="0" w:type="auto"/>
        <w:tblLook w:val="04A0"/>
      </w:tblPr>
      <w:tblGrid>
        <w:gridCol w:w="6345"/>
        <w:gridCol w:w="2865"/>
      </w:tblGrid>
      <w:tr w:rsidR="005B7197" w:rsidRPr="00BB5146" w:rsidTr="001A1619">
        <w:tc>
          <w:tcPr>
            <w:tcW w:w="6345" w:type="dxa"/>
            <w:vAlign w:val="center"/>
          </w:tcPr>
          <w:p w:rsidR="005B7197" w:rsidRPr="00BB5146" w:rsidRDefault="005B7197" w:rsidP="001A1619">
            <w:pPr>
              <w:tabs>
                <w:tab w:val="num" w:pos="1000"/>
              </w:tabs>
              <w:rPr>
                <w:rFonts w:ascii="Times New Roman" w:hAnsi="Times New Roman"/>
                <w:sz w:val="24"/>
              </w:rPr>
            </w:pPr>
            <w:r w:rsidRPr="00BB5146">
              <w:rPr>
                <w:rFonts w:ascii="Times New Roman" w:hAnsi="Times New Roman"/>
                <w:sz w:val="24"/>
              </w:rPr>
              <w:t>Celková alokace 07-13</w:t>
            </w:r>
          </w:p>
        </w:tc>
        <w:tc>
          <w:tcPr>
            <w:tcW w:w="2865" w:type="dxa"/>
            <w:vAlign w:val="center"/>
          </w:tcPr>
          <w:p w:rsidR="005B7197" w:rsidRPr="00BB5146" w:rsidRDefault="005B7197" w:rsidP="001A1619">
            <w:pPr>
              <w:tabs>
                <w:tab w:val="num" w:pos="1000"/>
              </w:tabs>
              <w:jc w:val="right"/>
              <w:rPr>
                <w:rFonts w:ascii="Times New Roman" w:hAnsi="Times New Roman"/>
                <w:sz w:val="24"/>
              </w:rPr>
            </w:pPr>
            <w:r>
              <w:rPr>
                <w:rFonts w:ascii="Times New Roman" w:hAnsi="Times New Roman"/>
                <w:sz w:val="24"/>
              </w:rPr>
              <w:t>573,8</w:t>
            </w:r>
            <w:r w:rsidRPr="00BB5146">
              <w:rPr>
                <w:rFonts w:ascii="Times New Roman" w:hAnsi="Times New Roman"/>
                <w:sz w:val="24"/>
              </w:rPr>
              <w:t xml:space="preserve"> mil. EUR</w:t>
            </w:r>
          </w:p>
        </w:tc>
      </w:tr>
      <w:tr w:rsidR="005B7197" w:rsidRPr="00BB5146" w:rsidTr="001A1619">
        <w:tc>
          <w:tcPr>
            <w:tcW w:w="6345" w:type="dxa"/>
            <w:vAlign w:val="center"/>
          </w:tcPr>
          <w:p w:rsidR="005B7197" w:rsidRPr="00BB5146" w:rsidRDefault="005B7197" w:rsidP="001A1619">
            <w:pPr>
              <w:tabs>
                <w:tab w:val="num" w:pos="1000"/>
              </w:tabs>
              <w:rPr>
                <w:rFonts w:ascii="Times New Roman" w:hAnsi="Times New Roman"/>
                <w:sz w:val="24"/>
              </w:rPr>
            </w:pPr>
            <w:r w:rsidRPr="00BB5146">
              <w:rPr>
                <w:rFonts w:ascii="Times New Roman" w:hAnsi="Times New Roman"/>
                <w:sz w:val="24"/>
              </w:rPr>
              <w:t>Odhad závazkování (započteny registrované žádosti 2013)</w:t>
            </w:r>
          </w:p>
        </w:tc>
        <w:tc>
          <w:tcPr>
            <w:tcW w:w="2865" w:type="dxa"/>
            <w:vAlign w:val="center"/>
          </w:tcPr>
          <w:p w:rsidR="005B7197" w:rsidRPr="00BB5146" w:rsidRDefault="005B7197" w:rsidP="001A1619">
            <w:pPr>
              <w:tabs>
                <w:tab w:val="num" w:pos="1000"/>
              </w:tabs>
              <w:jc w:val="right"/>
              <w:rPr>
                <w:rFonts w:ascii="Times New Roman" w:hAnsi="Times New Roman"/>
                <w:sz w:val="24"/>
              </w:rPr>
            </w:pPr>
            <w:r>
              <w:rPr>
                <w:rFonts w:ascii="Times New Roman" w:hAnsi="Times New Roman"/>
                <w:sz w:val="24"/>
              </w:rPr>
              <w:t>554,1</w:t>
            </w:r>
            <w:r w:rsidRPr="00BB5146">
              <w:rPr>
                <w:rFonts w:ascii="Times New Roman" w:hAnsi="Times New Roman"/>
                <w:sz w:val="24"/>
              </w:rPr>
              <w:t xml:space="preserve"> mil. EUR</w:t>
            </w:r>
          </w:p>
        </w:tc>
      </w:tr>
      <w:tr w:rsidR="005B7197" w:rsidRPr="00BB5146" w:rsidTr="001A1619">
        <w:tc>
          <w:tcPr>
            <w:tcW w:w="6345" w:type="dxa"/>
            <w:vAlign w:val="center"/>
          </w:tcPr>
          <w:p w:rsidR="005B7197" w:rsidRPr="00BB5146" w:rsidRDefault="005B7197" w:rsidP="001A1619">
            <w:pPr>
              <w:tabs>
                <w:tab w:val="num" w:pos="1000"/>
              </w:tabs>
              <w:rPr>
                <w:rFonts w:ascii="Times New Roman" w:hAnsi="Times New Roman"/>
                <w:sz w:val="24"/>
              </w:rPr>
            </w:pPr>
            <w:r w:rsidRPr="00BB5146">
              <w:rPr>
                <w:rFonts w:ascii="Times New Roman" w:hAnsi="Times New Roman"/>
                <w:sz w:val="24"/>
              </w:rPr>
              <w:t>Stav po vyplacení všech závazkovaných žádostí</w:t>
            </w:r>
          </w:p>
        </w:tc>
        <w:tc>
          <w:tcPr>
            <w:tcW w:w="2865" w:type="dxa"/>
            <w:vAlign w:val="center"/>
          </w:tcPr>
          <w:p w:rsidR="005B7197" w:rsidRPr="00B2735A" w:rsidRDefault="005B7197" w:rsidP="001A1619">
            <w:pPr>
              <w:tabs>
                <w:tab w:val="num" w:pos="1000"/>
              </w:tabs>
              <w:jc w:val="right"/>
              <w:rPr>
                <w:rFonts w:ascii="Times New Roman" w:hAnsi="Times New Roman"/>
                <w:color w:val="548DD4" w:themeColor="text2" w:themeTint="99"/>
                <w:sz w:val="24"/>
              </w:rPr>
            </w:pPr>
            <w:r w:rsidRPr="00B2735A">
              <w:rPr>
                <w:rFonts w:ascii="Times New Roman" w:hAnsi="Times New Roman"/>
                <w:color w:val="548DD4" w:themeColor="text2" w:themeTint="99"/>
                <w:sz w:val="24"/>
              </w:rPr>
              <w:t>+ 19,7 mil. EUR</w:t>
            </w:r>
          </w:p>
        </w:tc>
      </w:tr>
    </w:tbl>
    <w:p w:rsidR="005B7197" w:rsidRDefault="005B7197" w:rsidP="005B7197">
      <w:pPr>
        <w:pStyle w:val="Odstavecseseznamem"/>
        <w:spacing w:after="120"/>
        <w:contextualSpacing w:val="0"/>
        <w:jc w:val="both"/>
        <w:rPr>
          <w:sz w:val="24"/>
        </w:rPr>
      </w:pPr>
    </w:p>
    <w:p w:rsidR="005B7197" w:rsidRPr="00B01AA7" w:rsidRDefault="005B7197" w:rsidP="00B01AA7">
      <w:pPr>
        <w:spacing w:after="240"/>
        <w:ind w:firstLine="567"/>
        <w:jc w:val="both"/>
        <w:rPr>
          <w:iCs/>
          <w:sz w:val="24"/>
        </w:rPr>
      </w:pPr>
      <w:r w:rsidRPr="00B01AA7">
        <w:rPr>
          <w:iCs/>
          <w:sz w:val="24"/>
        </w:rPr>
        <w:t xml:space="preserve">Je navrhován přesun finančních prostředků ve prospěch podopatření II.1.3.1 se stejnou prioritou tak, aby v rámci jediného </w:t>
      </w:r>
      <w:r w:rsidR="00655347" w:rsidRPr="00B01AA7">
        <w:rPr>
          <w:iCs/>
          <w:sz w:val="24"/>
        </w:rPr>
        <w:t>pod</w:t>
      </w:r>
      <w:r w:rsidRPr="00B01AA7">
        <w:rPr>
          <w:iCs/>
          <w:sz w:val="24"/>
        </w:rPr>
        <w:t>opatření nedošlo k předčasnému vyčerpání alokované částky a</w:t>
      </w:r>
      <w:r w:rsidR="00B01AA7">
        <w:rPr>
          <w:iCs/>
          <w:sz w:val="24"/>
        </w:rPr>
        <w:t> </w:t>
      </w:r>
      <w:r w:rsidRPr="00B01AA7">
        <w:rPr>
          <w:iCs/>
          <w:sz w:val="24"/>
        </w:rPr>
        <w:t xml:space="preserve">zároveň značnému nedočerpání u jiných podopatření. </w:t>
      </w:r>
    </w:p>
    <w:p w:rsidR="005B7197" w:rsidRPr="00B01AA7" w:rsidRDefault="005B7197" w:rsidP="00B01AA7">
      <w:pPr>
        <w:spacing w:after="240"/>
        <w:ind w:firstLine="567"/>
        <w:jc w:val="both"/>
        <w:rPr>
          <w:iCs/>
          <w:sz w:val="24"/>
        </w:rPr>
      </w:pPr>
      <w:r>
        <w:rPr>
          <w:sz w:val="24"/>
        </w:rPr>
        <w:t>D</w:t>
      </w:r>
      <w:r w:rsidRPr="00DE6239">
        <w:rPr>
          <w:sz w:val="24"/>
        </w:rPr>
        <w:t>ojde k</w:t>
      </w:r>
      <w:r>
        <w:rPr>
          <w:sz w:val="24"/>
        </w:rPr>
        <w:t>e</w:t>
      </w:r>
      <w:r w:rsidRPr="00DE6239">
        <w:rPr>
          <w:sz w:val="24"/>
        </w:rPr>
        <w:t> </w:t>
      </w:r>
      <w:r>
        <w:rPr>
          <w:sz w:val="24"/>
        </w:rPr>
        <w:t>snížení</w:t>
      </w:r>
      <w:r w:rsidRPr="00DE6239">
        <w:rPr>
          <w:sz w:val="24"/>
        </w:rPr>
        <w:t xml:space="preserve"> celkové alokované částky na </w:t>
      </w:r>
      <w:r>
        <w:rPr>
          <w:b/>
          <w:sz w:val="24"/>
        </w:rPr>
        <w:t>554,1 mil.</w:t>
      </w:r>
      <w:r w:rsidRPr="00DE6239">
        <w:rPr>
          <w:b/>
          <w:sz w:val="24"/>
        </w:rPr>
        <w:t xml:space="preserve"> EUR</w:t>
      </w:r>
      <w:r>
        <w:rPr>
          <w:b/>
          <w:sz w:val="24"/>
        </w:rPr>
        <w:t xml:space="preserve"> přesunem 19,7 mil. EUR do podopatření II.1.3.1</w:t>
      </w:r>
      <w:r w:rsidRPr="00DE6239">
        <w:rPr>
          <w:b/>
          <w:sz w:val="24"/>
        </w:rPr>
        <w:t>.</w:t>
      </w:r>
    </w:p>
    <w:p w:rsidR="005B7197" w:rsidRPr="00DE6239" w:rsidRDefault="005B7197" w:rsidP="005B7197">
      <w:pPr>
        <w:jc w:val="both"/>
        <w:rPr>
          <w:sz w:val="24"/>
          <w:highlight w:val="yellow"/>
        </w:rPr>
      </w:pPr>
    </w:p>
    <w:p w:rsidR="00B01AA7" w:rsidRDefault="00B01AA7">
      <w:pPr>
        <w:rPr>
          <w:b/>
          <w:sz w:val="24"/>
        </w:rPr>
      </w:pPr>
      <w:r>
        <w:rPr>
          <w:b/>
          <w:sz w:val="24"/>
        </w:rPr>
        <w:br w:type="page"/>
      </w:r>
    </w:p>
    <w:p w:rsidR="005B7197" w:rsidRPr="00DE6239" w:rsidRDefault="005B7197" w:rsidP="00B01AA7">
      <w:pPr>
        <w:pStyle w:val="Odstavecseseznamem"/>
        <w:numPr>
          <w:ilvl w:val="0"/>
          <w:numId w:val="22"/>
        </w:numPr>
        <w:tabs>
          <w:tab w:val="num" w:pos="1000"/>
        </w:tabs>
        <w:spacing w:after="120"/>
        <w:jc w:val="both"/>
        <w:rPr>
          <w:b/>
          <w:sz w:val="24"/>
        </w:rPr>
      </w:pPr>
      <w:r w:rsidRPr="00DE6239">
        <w:rPr>
          <w:b/>
          <w:sz w:val="24"/>
        </w:rPr>
        <w:lastRenderedPageBreak/>
        <w:t>Podopatření II.1.3.3 Péče o krajinu</w:t>
      </w:r>
    </w:p>
    <w:tbl>
      <w:tblPr>
        <w:tblStyle w:val="Mkatabulky"/>
        <w:tblW w:w="0" w:type="auto"/>
        <w:tblLook w:val="04A0"/>
      </w:tblPr>
      <w:tblGrid>
        <w:gridCol w:w="6345"/>
        <w:gridCol w:w="2865"/>
      </w:tblGrid>
      <w:tr w:rsidR="005B7197" w:rsidRPr="00BB5146" w:rsidTr="001A1619">
        <w:tc>
          <w:tcPr>
            <w:tcW w:w="6345" w:type="dxa"/>
            <w:vAlign w:val="center"/>
          </w:tcPr>
          <w:p w:rsidR="005B7197" w:rsidRPr="00BB5146" w:rsidRDefault="005B7197" w:rsidP="001A1619">
            <w:pPr>
              <w:tabs>
                <w:tab w:val="num" w:pos="1000"/>
              </w:tabs>
              <w:rPr>
                <w:rFonts w:ascii="Times New Roman" w:hAnsi="Times New Roman"/>
                <w:sz w:val="24"/>
              </w:rPr>
            </w:pPr>
            <w:r w:rsidRPr="00BB5146">
              <w:rPr>
                <w:rFonts w:ascii="Times New Roman" w:hAnsi="Times New Roman"/>
                <w:sz w:val="24"/>
              </w:rPr>
              <w:t>Celková alokace 07-13</w:t>
            </w:r>
          </w:p>
        </w:tc>
        <w:tc>
          <w:tcPr>
            <w:tcW w:w="2865" w:type="dxa"/>
            <w:vAlign w:val="center"/>
          </w:tcPr>
          <w:p w:rsidR="005B7197" w:rsidRPr="00BB5146" w:rsidRDefault="005B7197" w:rsidP="001A1619">
            <w:pPr>
              <w:tabs>
                <w:tab w:val="num" w:pos="1000"/>
              </w:tabs>
              <w:jc w:val="right"/>
              <w:rPr>
                <w:rFonts w:ascii="Times New Roman" w:hAnsi="Times New Roman"/>
                <w:sz w:val="24"/>
              </w:rPr>
            </w:pPr>
            <w:r>
              <w:rPr>
                <w:rFonts w:ascii="Times New Roman" w:hAnsi="Times New Roman"/>
                <w:sz w:val="24"/>
              </w:rPr>
              <w:t>237,4</w:t>
            </w:r>
            <w:r w:rsidRPr="00BB5146">
              <w:rPr>
                <w:rFonts w:ascii="Times New Roman" w:hAnsi="Times New Roman"/>
                <w:sz w:val="24"/>
              </w:rPr>
              <w:t xml:space="preserve"> mil. EUR</w:t>
            </w:r>
          </w:p>
        </w:tc>
      </w:tr>
      <w:tr w:rsidR="005B7197" w:rsidRPr="00BB5146" w:rsidTr="001A1619">
        <w:tc>
          <w:tcPr>
            <w:tcW w:w="6345" w:type="dxa"/>
            <w:vAlign w:val="center"/>
          </w:tcPr>
          <w:p w:rsidR="005B7197" w:rsidRPr="00BB5146" w:rsidRDefault="005B7197" w:rsidP="001A1619">
            <w:pPr>
              <w:tabs>
                <w:tab w:val="num" w:pos="1000"/>
              </w:tabs>
              <w:rPr>
                <w:rFonts w:ascii="Times New Roman" w:hAnsi="Times New Roman"/>
                <w:sz w:val="24"/>
              </w:rPr>
            </w:pPr>
            <w:r w:rsidRPr="00BB5146">
              <w:rPr>
                <w:rFonts w:ascii="Times New Roman" w:hAnsi="Times New Roman"/>
                <w:sz w:val="24"/>
              </w:rPr>
              <w:t>Odhad závazkování (započteny registrované žádosti 2013)</w:t>
            </w:r>
          </w:p>
        </w:tc>
        <w:tc>
          <w:tcPr>
            <w:tcW w:w="2865" w:type="dxa"/>
            <w:vAlign w:val="center"/>
          </w:tcPr>
          <w:p w:rsidR="005B7197" w:rsidRPr="00BB5146" w:rsidRDefault="005B7197" w:rsidP="001A1619">
            <w:pPr>
              <w:tabs>
                <w:tab w:val="num" w:pos="1000"/>
              </w:tabs>
              <w:jc w:val="right"/>
              <w:rPr>
                <w:rFonts w:ascii="Times New Roman" w:hAnsi="Times New Roman"/>
                <w:sz w:val="24"/>
              </w:rPr>
            </w:pPr>
            <w:r>
              <w:rPr>
                <w:rFonts w:ascii="Times New Roman" w:hAnsi="Times New Roman"/>
                <w:sz w:val="24"/>
              </w:rPr>
              <w:t>241,4</w:t>
            </w:r>
            <w:r w:rsidRPr="00BB5146">
              <w:rPr>
                <w:rFonts w:ascii="Times New Roman" w:hAnsi="Times New Roman"/>
                <w:sz w:val="24"/>
              </w:rPr>
              <w:t xml:space="preserve"> mil. EUR</w:t>
            </w:r>
          </w:p>
        </w:tc>
      </w:tr>
      <w:tr w:rsidR="005B7197" w:rsidRPr="00BB5146" w:rsidTr="001A1619">
        <w:tc>
          <w:tcPr>
            <w:tcW w:w="6345" w:type="dxa"/>
            <w:vAlign w:val="center"/>
          </w:tcPr>
          <w:p w:rsidR="005B7197" w:rsidRPr="00BB5146" w:rsidRDefault="005B7197" w:rsidP="001A1619">
            <w:pPr>
              <w:tabs>
                <w:tab w:val="num" w:pos="1000"/>
              </w:tabs>
              <w:rPr>
                <w:rFonts w:ascii="Times New Roman" w:hAnsi="Times New Roman"/>
                <w:sz w:val="24"/>
              </w:rPr>
            </w:pPr>
            <w:r w:rsidRPr="00BB5146">
              <w:rPr>
                <w:rFonts w:ascii="Times New Roman" w:hAnsi="Times New Roman"/>
                <w:sz w:val="24"/>
              </w:rPr>
              <w:t>Stav po vyplacení všech závazkovaných žádostí</w:t>
            </w:r>
          </w:p>
        </w:tc>
        <w:tc>
          <w:tcPr>
            <w:tcW w:w="2865" w:type="dxa"/>
            <w:vAlign w:val="center"/>
          </w:tcPr>
          <w:p w:rsidR="005B7197" w:rsidRPr="00B2735A" w:rsidRDefault="005B7197" w:rsidP="001A1619">
            <w:pPr>
              <w:tabs>
                <w:tab w:val="num" w:pos="1000"/>
              </w:tabs>
              <w:jc w:val="right"/>
              <w:rPr>
                <w:rFonts w:ascii="Times New Roman" w:hAnsi="Times New Roman"/>
                <w:color w:val="FF0000"/>
                <w:sz w:val="24"/>
              </w:rPr>
            </w:pPr>
            <w:r w:rsidRPr="00B2735A">
              <w:rPr>
                <w:rFonts w:ascii="Times New Roman" w:hAnsi="Times New Roman"/>
                <w:color w:val="FF0000"/>
                <w:sz w:val="24"/>
              </w:rPr>
              <w:t>- 4,0 mil. EUR</w:t>
            </w:r>
          </w:p>
        </w:tc>
      </w:tr>
    </w:tbl>
    <w:p w:rsidR="005B7197" w:rsidRDefault="005B7197" w:rsidP="005B7197">
      <w:pPr>
        <w:tabs>
          <w:tab w:val="num" w:pos="1000"/>
        </w:tabs>
        <w:spacing w:after="120"/>
        <w:jc w:val="both"/>
        <w:rPr>
          <w:sz w:val="24"/>
        </w:rPr>
      </w:pPr>
    </w:p>
    <w:p w:rsidR="005B7197" w:rsidRPr="00B01AA7" w:rsidRDefault="005B7197" w:rsidP="00B01AA7">
      <w:pPr>
        <w:spacing w:after="240"/>
        <w:ind w:firstLine="567"/>
        <w:jc w:val="both"/>
        <w:rPr>
          <w:iCs/>
          <w:sz w:val="24"/>
        </w:rPr>
      </w:pPr>
      <w:r>
        <w:rPr>
          <w:sz w:val="24"/>
        </w:rPr>
        <w:t xml:space="preserve">V rozpočtu podopatření aktuálně není dostatek finančních prostředků na všechny žádosti přijaté </w:t>
      </w:r>
      <w:r w:rsidR="00655347">
        <w:rPr>
          <w:sz w:val="24"/>
        </w:rPr>
        <w:t xml:space="preserve">v </w:t>
      </w:r>
      <w:r>
        <w:rPr>
          <w:sz w:val="24"/>
        </w:rPr>
        <w:t xml:space="preserve">r. 2013. V případě přesunu finančních prostředků ve prospěch tohoto </w:t>
      </w:r>
      <w:r w:rsidR="00655347">
        <w:rPr>
          <w:sz w:val="24"/>
        </w:rPr>
        <w:t>pod</w:t>
      </w:r>
      <w:r>
        <w:rPr>
          <w:sz w:val="24"/>
        </w:rPr>
        <w:t>opatření bude možné financovat větší část žádostí přijatých v r. 2013 ze stávajícího rozpočtu a zároveň ke snížení zatížení rozpočtu PRV 2014-2020</w:t>
      </w:r>
      <w:r w:rsidRPr="00B01AA7">
        <w:rPr>
          <w:iCs/>
          <w:sz w:val="24"/>
        </w:rPr>
        <w:t>.</w:t>
      </w:r>
    </w:p>
    <w:p w:rsidR="005B7197" w:rsidRPr="00B01AA7" w:rsidRDefault="005B7197" w:rsidP="00B01AA7">
      <w:pPr>
        <w:spacing w:after="240"/>
        <w:ind w:firstLine="567"/>
        <w:jc w:val="both"/>
        <w:rPr>
          <w:iCs/>
          <w:sz w:val="24"/>
        </w:rPr>
      </w:pPr>
      <w:r w:rsidRPr="00D072D1">
        <w:rPr>
          <w:sz w:val="24"/>
        </w:rPr>
        <w:t xml:space="preserve">Ve prospěch podopatření II.1.3.1 se navrhuje přesun </w:t>
      </w:r>
      <w:r w:rsidRPr="00B2735A">
        <w:rPr>
          <w:b/>
          <w:sz w:val="24"/>
        </w:rPr>
        <w:t xml:space="preserve">z podopatření </w:t>
      </w:r>
      <w:r>
        <w:rPr>
          <w:b/>
          <w:sz w:val="24"/>
        </w:rPr>
        <w:t>II.2.4.1</w:t>
      </w:r>
      <w:r w:rsidRPr="00B2735A">
        <w:rPr>
          <w:b/>
          <w:sz w:val="24"/>
        </w:rPr>
        <w:t xml:space="preserve"> ve výši 4</w:t>
      </w:r>
      <w:r w:rsidR="00B01AA7">
        <w:rPr>
          <w:b/>
          <w:sz w:val="24"/>
        </w:rPr>
        <w:t> </w:t>
      </w:r>
      <w:r w:rsidRPr="00B2735A">
        <w:rPr>
          <w:b/>
          <w:sz w:val="24"/>
        </w:rPr>
        <w:t>mil.</w:t>
      </w:r>
      <w:r w:rsidR="00B01AA7">
        <w:rPr>
          <w:b/>
          <w:sz w:val="24"/>
        </w:rPr>
        <w:t> </w:t>
      </w:r>
      <w:r w:rsidRPr="00B2735A">
        <w:rPr>
          <w:b/>
          <w:sz w:val="24"/>
        </w:rPr>
        <w:t xml:space="preserve">EUR, </w:t>
      </w:r>
      <w:r w:rsidRPr="00D072D1">
        <w:rPr>
          <w:sz w:val="24"/>
        </w:rPr>
        <w:t>nová alokace bude činit</w:t>
      </w:r>
      <w:r w:rsidRPr="00B2735A">
        <w:rPr>
          <w:b/>
          <w:sz w:val="24"/>
        </w:rPr>
        <w:t xml:space="preserve"> 241,4 mil. EUR.</w:t>
      </w:r>
      <w:r w:rsidRPr="00DF7F50">
        <w:rPr>
          <w:sz w:val="24"/>
        </w:rPr>
        <w:t xml:space="preserve"> </w:t>
      </w:r>
      <w:r>
        <w:rPr>
          <w:sz w:val="24"/>
        </w:rPr>
        <w:t>Přesunem dojde k eliminaci deficitu rozpočtu opatření.</w:t>
      </w:r>
    </w:p>
    <w:p w:rsidR="005B7197" w:rsidRDefault="005B7197" w:rsidP="005B7197">
      <w:pPr>
        <w:spacing w:before="60"/>
        <w:jc w:val="both"/>
        <w:rPr>
          <w:sz w:val="24"/>
        </w:rPr>
      </w:pPr>
    </w:p>
    <w:p w:rsidR="005B7197" w:rsidRPr="00260914" w:rsidRDefault="005B7197" w:rsidP="005B7197">
      <w:pPr>
        <w:spacing w:after="120"/>
        <w:jc w:val="both"/>
        <w:rPr>
          <w:b/>
          <w:color w:val="4F6228" w:themeColor="accent3" w:themeShade="80"/>
          <w:sz w:val="24"/>
        </w:rPr>
      </w:pPr>
      <w:r w:rsidRPr="00260914">
        <w:rPr>
          <w:b/>
          <w:color w:val="4F6228" w:themeColor="accent3" w:themeShade="80"/>
          <w:sz w:val="24"/>
        </w:rPr>
        <w:t xml:space="preserve">Opatření II.2.4 Obnova lesního potenciálu po kalamitách a podpora společenských funkcí lesů </w:t>
      </w:r>
    </w:p>
    <w:p w:rsidR="005B7197" w:rsidRPr="00260914" w:rsidRDefault="005B7197" w:rsidP="005B7197">
      <w:pPr>
        <w:spacing w:after="120"/>
        <w:jc w:val="both"/>
        <w:rPr>
          <w:b/>
          <w:sz w:val="24"/>
        </w:rPr>
      </w:pPr>
      <w:r w:rsidRPr="00260914">
        <w:rPr>
          <w:b/>
          <w:sz w:val="24"/>
        </w:rPr>
        <w:t>Podopatření II.2.4.1 Obnova lesního potenciálu po kalamitách a zavádění preventivních opatření (kód 226)</w:t>
      </w:r>
    </w:p>
    <w:tbl>
      <w:tblPr>
        <w:tblStyle w:val="Mkatabulky"/>
        <w:tblW w:w="0" w:type="auto"/>
        <w:tblLook w:val="04A0"/>
      </w:tblPr>
      <w:tblGrid>
        <w:gridCol w:w="6345"/>
        <w:gridCol w:w="2865"/>
      </w:tblGrid>
      <w:tr w:rsidR="005B7197" w:rsidRPr="00BB5146" w:rsidTr="001A1619">
        <w:tc>
          <w:tcPr>
            <w:tcW w:w="6345" w:type="dxa"/>
            <w:vAlign w:val="center"/>
          </w:tcPr>
          <w:p w:rsidR="005B7197" w:rsidRPr="00BB5146" w:rsidRDefault="005B7197" w:rsidP="001A1619">
            <w:pPr>
              <w:tabs>
                <w:tab w:val="num" w:pos="1000"/>
              </w:tabs>
              <w:rPr>
                <w:rFonts w:ascii="Times New Roman" w:hAnsi="Times New Roman"/>
                <w:sz w:val="24"/>
              </w:rPr>
            </w:pPr>
            <w:r w:rsidRPr="00BB5146">
              <w:rPr>
                <w:rFonts w:ascii="Times New Roman" w:hAnsi="Times New Roman"/>
                <w:sz w:val="24"/>
              </w:rPr>
              <w:t>Celková alokace 07-13</w:t>
            </w:r>
          </w:p>
        </w:tc>
        <w:tc>
          <w:tcPr>
            <w:tcW w:w="2865" w:type="dxa"/>
            <w:vAlign w:val="center"/>
          </w:tcPr>
          <w:p w:rsidR="005B7197" w:rsidRPr="00BB5146" w:rsidRDefault="005B7197" w:rsidP="001A1619">
            <w:pPr>
              <w:tabs>
                <w:tab w:val="num" w:pos="1000"/>
              </w:tabs>
              <w:jc w:val="right"/>
              <w:rPr>
                <w:rFonts w:ascii="Times New Roman" w:hAnsi="Times New Roman"/>
                <w:sz w:val="24"/>
              </w:rPr>
            </w:pPr>
            <w:r>
              <w:rPr>
                <w:rFonts w:ascii="Times New Roman" w:hAnsi="Times New Roman"/>
                <w:sz w:val="24"/>
              </w:rPr>
              <w:t>35,7</w:t>
            </w:r>
            <w:r w:rsidRPr="00BB5146">
              <w:rPr>
                <w:rFonts w:ascii="Times New Roman" w:hAnsi="Times New Roman"/>
                <w:sz w:val="24"/>
              </w:rPr>
              <w:t xml:space="preserve"> mil. EUR</w:t>
            </w:r>
          </w:p>
        </w:tc>
      </w:tr>
      <w:tr w:rsidR="005B7197" w:rsidRPr="00BB5146" w:rsidTr="001A1619">
        <w:tc>
          <w:tcPr>
            <w:tcW w:w="6345" w:type="dxa"/>
            <w:vAlign w:val="center"/>
          </w:tcPr>
          <w:p w:rsidR="005B7197" w:rsidRPr="00BB5146" w:rsidRDefault="005B7197" w:rsidP="001A1619">
            <w:pPr>
              <w:tabs>
                <w:tab w:val="num" w:pos="1000"/>
              </w:tabs>
              <w:rPr>
                <w:rFonts w:ascii="Times New Roman" w:hAnsi="Times New Roman"/>
                <w:sz w:val="24"/>
              </w:rPr>
            </w:pPr>
            <w:r w:rsidRPr="00BB5146">
              <w:rPr>
                <w:rFonts w:ascii="Times New Roman" w:hAnsi="Times New Roman"/>
                <w:sz w:val="24"/>
              </w:rPr>
              <w:t xml:space="preserve">Odhad závazkování </w:t>
            </w:r>
          </w:p>
        </w:tc>
        <w:tc>
          <w:tcPr>
            <w:tcW w:w="2865" w:type="dxa"/>
            <w:vAlign w:val="center"/>
          </w:tcPr>
          <w:p w:rsidR="005B7197" w:rsidRPr="00BB5146" w:rsidRDefault="005B7197" w:rsidP="001A1619">
            <w:pPr>
              <w:tabs>
                <w:tab w:val="num" w:pos="1000"/>
              </w:tabs>
              <w:jc w:val="right"/>
              <w:rPr>
                <w:rFonts w:ascii="Times New Roman" w:hAnsi="Times New Roman"/>
                <w:sz w:val="24"/>
              </w:rPr>
            </w:pPr>
            <w:r>
              <w:rPr>
                <w:rFonts w:ascii="Times New Roman" w:hAnsi="Times New Roman"/>
                <w:sz w:val="24"/>
              </w:rPr>
              <w:t>24,3</w:t>
            </w:r>
            <w:r w:rsidRPr="00BB5146">
              <w:rPr>
                <w:rFonts w:ascii="Times New Roman" w:hAnsi="Times New Roman"/>
                <w:sz w:val="24"/>
              </w:rPr>
              <w:t xml:space="preserve"> mil. EUR</w:t>
            </w:r>
          </w:p>
        </w:tc>
      </w:tr>
      <w:tr w:rsidR="005B7197" w:rsidRPr="00BB5146" w:rsidTr="001A1619">
        <w:tc>
          <w:tcPr>
            <w:tcW w:w="6345" w:type="dxa"/>
            <w:vAlign w:val="center"/>
          </w:tcPr>
          <w:p w:rsidR="005B7197" w:rsidRPr="00BB5146" w:rsidRDefault="005B7197" w:rsidP="001A1619">
            <w:pPr>
              <w:tabs>
                <w:tab w:val="num" w:pos="1000"/>
              </w:tabs>
              <w:rPr>
                <w:rFonts w:ascii="Times New Roman" w:hAnsi="Times New Roman"/>
                <w:sz w:val="24"/>
              </w:rPr>
            </w:pPr>
            <w:r w:rsidRPr="00BB5146">
              <w:rPr>
                <w:rFonts w:ascii="Times New Roman" w:hAnsi="Times New Roman"/>
                <w:sz w:val="24"/>
              </w:rPr>
              <w:t>Stav po vyplacení všech závazkovaných žádostí</w:t>
            </w:r>
          </w:p>
        </w:tc>
        <w:tc>
          <w:tcPr>
            <w:tcW w:w="2865" w:type="dxa"/>
            <w:vAlign w:val="center"/>
          </w:tcPr>
          <w:p w:rsidR="005B7197" w:rsidRPr="00B2735A" w:rsidRDefault="005B7197" w:rsidP="001A1619">
            <w:pPr>
              <w:tabs>
                <w:tab w:val="num" w:pos="1000"/>
              </w:tabs>
              <w:jc w:val="right"/>
              <w:rPr>
                <w:rFonts w:ascii="Times New Roman" w:hAnsi="Times New Roman"/>
                <w:color w:val="548DD4" w:themeColor="text2" w:themeTint="99"/>
                <w:sz w:val="24"/>
              </w:rPr>
            </w:pPr>
            <w:r>
              <w:rPr>
                <w:rFonts w:ascii="Times New Roman" w:hAnsi="Times New Roman"/>
                <w:sz w:val="24"/>
              </w:rPr>
              <w:t xml:space="preserve"> </w:t>
            </w:r>
            <w:r w:rsidRPr="00B2735A">
              <w:rPr>
                <w:rFonts w:ascii="Times New Roman" w:hAnsi="Times New Roman"/>
                <w:color w:val="548DD4" w:themeColor="text2" w:themeTint="99"/>
                <w:sz w:val="24"/>
              </w:rPr>
              <w:t>+ 11,4 mil. EUR</w:t>
            </w:r>
          </w:p>
        </w:tc>
      </w:tr>
    </w:tbl>
    <w:p w:rsidR="005B7197" w:rsidRDefault="005B7197" w:rsidP="005B7197">
      <w:pPr>
        <w:spacing w:before="60"/>
        <w:jc w:val="both"/>
        <w:rPr>
          <w:sz w:val="24"/>
        </w:rPr>
      </w:pPr>
    </w:p>
    <w:p w:rsidR="005B7197" w:rsidRPr="00B01AA7" w:rsidRDefault="005B7197" w:rsidP="00B01AA7">
      <w:pPr>
        <w:spacing w:after="240"/>
        <w:ind w:firstLine="567"/>
        <w:jc w:val="both"/>
        <w:rPr>
          <w:iCs/>
          <w:sz w:val="24"/>
        </w:rPr>
      </w:pPr>
      <w:r w:rsidRPr="002838DC">
        <w:rPr>
          <w:sz w:val="24"/>
        </w:rPr>
        <w:t>V návaznosti na povodňovou situaci</w:t>
      </w:r>
      <w:r>
        <w:rPr>
          <w:sz w:val="24"/>
        </w:rPr>
        <w:t xml:space="preserve"> byl v letošním roce prodloužen příjem </w:t>
      </w:r>
      <w:r w:rsidRPr="00054293">
        <w:rPr>
          <w:sz w:val="24"/>
        </w:rPr>
        <w:t xml:space="preserve">žádostí </w:t>
      </w:r>
      <w:r>
        <w:rPr>
          <w:sz w:val="24"/>
        </w:rPr>
        <w:t>od</w:t>
      </w:r>
      <w:r w:rsidR="005F1295">
        <w:rPr>
          <w:sz w:val="24"/>
        </w:rPr>
        <w:t> </w:t>
      </w:r>
      <w:r>
        <w:rPr>
          <w:sz w:val="24"/>
        </w:rPr>
        <w:t>19.</w:t>
      </w:r>
      <w:r w:rsidR="005F1295">
        <w:rPr>
          <w:sz w:val="24"/>
        </w:rPr>
        <w:t> </w:t>
      </w:r>
      <w:r>
        <w:rPr>
          <w:sz w:val="24"/>
        </w:rPr>
        <w:t>6.</w:t>
      </w:r>
      <w:r w:rsidR="005F1295">
        <w:rPr>
          <w:sz w:val="24"/>
        </w:rPr>
        <w:t xml:space="preserve"> d</w:t>
      </w:r>
      <w:r>
        <w:rPr>
          <w:sz w:val="24"/>
        </w:rPr>
        <w:t>o</w:t>
      </w:r>
      <w:r w:rsidR="005F1295">
        <w:rPr>
          <w:sz w:val="24"/>
        </w:rPr>
        <w:t> </w:t>
      </w:r>
      <w:r>
        <w:rPr>
          <w:sz w:val="24"/>
        </w:rPr>
        <w:t>31.</w:t>
      </w:r>
      <w:r w:rsidR="0054482E">
        <w:rPr>
          <w:sz w:val="24"/>
        </w:rPr>
        <w:t xml:space="preserve"> </w:t>
      </w:r>
      <w:r>
        <w:rPr>
          <w:sz w:val="24"/>
        </w:rPr>
        <w:t>10. 2013.</w:t>
      </w:r>
      <w:r>
        <w:rPr>
          <w:rStyle w:val="Znakapoznpodarou"/>
          <w:sz w:val="24"/>
        </w:rPr>
        <w:footnoteReference w:id="1"/>
      </w:r>
      <w:r>
        <w:rPr>
          <w:sz w:val="24"/>
        </w:rPr>
        <w:t xml:space="preserve"> Z aktuálních odhadů budoucího čerpání je možné konstatovat, že i přes toto opatření nedosáhne podopatření naplnění původně očekávané absorpční kapacity. Při současné míře závazkování a započtení všech letos přijatých žádostech o dotaci v rozpočtu výhledově zůstává více než 11,4 mil. EUR. Tyto prostředky mohou být využity v opatření, které mají větší absorpční kapacitu a zároveň nastavením podmínek vedlejším efektem přispívají ke stejné prioritě.</w:t>
      </w:r>
    </w:p>
    <w:p w:rsidR="005B7197" w:rsidRPr="00B01AA7" w:rsidRDefault="005B7197" w:rsidP="00B01AA7">
      <w:pPr>
        <w:spacing w:after="240"/>
        <w:ind w:firstLine="567"/>
        <w:jc w:val="both"/>
        <w:rPr>
          <w:iCs/>
          <w:sz w:val="24"/>
        </w:rPr>
      </w:pPr>
      <w:r>
        <w:rPr>
          <w:sz w:val="24"/>
        </w:rPr>
        <w:t>Je navrhován přesun ve výši 11,4 mil. EUR do opatření II.1.3 AEO, konkrétně 7,4 mil. EUR do II.1.3.1 Postupy šetrné k životnímu prostředí a 4 mil. EUR do II.1.3.3 Péče o krajinu. Nová alokace bude snížena na 24,3 mil. EUR, přičemž cíle tohoto opatření budou muset být přehodnoceny s ohledem na aktuální potřeby řešení kalamitních situací v ČR (pravděpodobně bude snížena hodnota výstupového indikátoru „počet obnovních akcí</w:t>
      </w:r>
      <w:r w:rsidRPr="00B01AA7">
        <w:rPr>
          <w:iCs/>
          <w:sz w:val="24"/>
        </w:rPr>
        <w:t xml:space="preserve">“). </w:t>
      </w:r>
    </w:p>
    <w:p w:rsidR="000C7BBA" w:rsidRPr="00B01AA7" w:rsidRDefault="000C7BBA" w:rsidP="00B01AA7">
      <w:pPr>
        <w:spacing w:after="240"/>
        <w:ind w:firstLine="567"/>
        <w:jc w:val="both"/>
        <w:rPr>
          <w:iCs/>
          <w:sz w:val="24"/>
        </w:rPr>
      </w:pPr>
      <w:r w:rsidRPr="002711B6">
        <w:rPr>
          <w:iCs/>
          <w:sz w:val="24"/>
        </w:rPr>
        <w:t xml:space="preserve">Další navrhovaná změna se týká </w:t>
      </w:r>
      <w:r w:rsidRPr="002711B6">
        <w:rPr>
          <w:b/>
          <w:iCs/>
          <w:sz w:val="24"/>
        </w:rPr>
        <w:t>prodloužení platnosti veřejné podpory</w:t>
      </w:r>
      <w:r w:rsidRPr="002711B6">
        <w:rPr>
          <w:iCs/>
          <w:sz w:val="24"/>
        </w:rPr>
        <w:t xml:space="preserve"> do konce roku 2014 - v</w:t>
      </w:r>
      <w:r w:rsidRPr="002711B6">
        <w:rPr>
          <w:sz w:val="24"/>
        </w:rPr>
        <w:t>eřejná podpora byla poskytována na základě rozhodnutí číslo SA.32944(2011/N) - Opatření II.2.4.1 PRV Obnova lesního potenciálu po kalamitách a zavádění preventivních opatření, trvání 07.</w:t>
      </w:r>
      <w:r w:rsidR="002711B6">
        <w:rPr>
          <w:sz w:val="24"/>
        </w:rPr>
        <w:t> </w:t>
      </w:r>
      <w:r w:rsidRPr="002711B6">
        <w:rPr>
          <w:sz w:val="24"/>
        </w:rPr>
        <w:t>12.</w:t>
      </w:r>
      <w:r w:rsidR="002711B6">
        <w:rPr>
          <w:sz w:val="24"/>
        </w:rPr>
        <w:t> </w:t>
      </w:r>
      <w:r w:rsidRPr="002711B6">
        <w:rPr>
          <w:sz w:val="24"/>
        </w:rPr>
        <w:t>2011 do 31.</w:t>
      </w:r>
      <w:r w:rsidR="002711B6">
        <w:rPr>
          <w:sz w:val="24"/>
        </w:rPr>
        <w:t> </w:t>
      </w:r>
      <w:r w:rsidRPr="002711B6">
        <w:rPr>
          <w:sz w:val="24"/>
        </w:rPr>
        <w:t>12.</w:t>
      </w:r>
      <w:r w:rsidR="002711B6">
        <w:rPr>
          <w:sz w:val="24"/>
        </w:rPr>
        <w:t> </w:t>
      </w:r>
      <w:r w:rsidRPr="002711B6">
        <w:rPr>
          <w:sz w:val="24"/>
        </w:rPr>
        <w:t>2013, s prodlouženou dobou platnosti na základě rozhodnutí SA.37247(2013/N) od 1.1.2014 do 31.12.2014</w:t>
      </w:r>
      <w:r w:rsidR="002711B6">
        <w:rPr>
          <w:sz w:val="24"/>
        </w:rPr>
        <w:t>.</w:t>
      </w:r>
    </w:p>
    <w:p w:rsidR="005B7197" w:rsidRPr="002711B6" w:rsidRDefault="005B7197" w:rsidP="005B7197">
      <w:pPr>
        <w:spacing w:before="60"/>
        <w:jc w:val="both"/>
        <w:rPr>
          <w:sz w:val="24"/>
        </w:rPr>
      </w:pPr>
    </w:p>
    <w:p w:rsidR="005B7197" w:rsidRDefault="005B7197" w:rsidP="005B7197">
      <w:pPr>
        <w:jc w:val="both"/>
        <w:rPr>
          <w:sz w:val="24"/>
        </w:rPr>
      </w:pPr>
    </w:p>
    <w:p w:rsidR="005B7197" w:rsidRPr="00DF7F50" w:rsidRDefault="005B7197" w:rsidP="005B7197">
      <w:pPr>
        <w:pBdr>
          <w:top w:val="single" w:sz="4" w:space="1" w:color="auto"/>
          <w:left w:val="single" w:sz="4" w:space="4" w:color="auto"/>
          <w:bottom w:val="single" w:sz="4" w:space="1" w:color="auto"/>
          <w:right w:val="single" w:sz="4" w:space="4" w:color="auto"/>
        </w:pBdr>
        <w:spacing w:after="120"/>
        <w:jc w:val="both"/>
        <w:rPr>
          <w:b/>
          <w:sz w:val="24"/>
        </w:rPr>
      </w:pPr>
      <w:r w:rsidRPr="00DF7F50">
        <w:rPr>
          <w:b/>
          <w:sz w:val="24"/>
        </w:rPr>
        <w:lastRenderedPageBreak/>
        <w:t>Realizací přesunů dojde k optimální</w:t>
      </w:r>
      <w:r w:rsidR="005073DD">
        <w:rPr>
          <w:b/>
          <w:sz w:val="24"/>
        </w:rPr>
        <w:t>mu</w:t>
      </w:r>
      <w:r w:rsidRPr="00DF7F50">
        <w:rPr>
          <w:b/>
          <w:sz w:val="24"/>
        </w:rPr>
        <w:t xml:space="preserve"> využití aktuálně nezazávazkovaných finančních prostředků v opatřeních, kde absorpční kapacita přesahuje současnou alokaci. Přesunem </w:t>
      </w:r>
      <w:r>
        <w:rPr>
          <w:b/>
          <w:sz w:val="24"/>
        </w:rPr>
        <w:t xml:space="preserve">zároveň </w:t>
      </w:r>
      <w:r w:rsidRPr="00DF7F50">
        <w:rPr>
          <w:b/>
          <w:sz w:val="24"/>
        </w:rPr>
        <w:t>dojde ke snížení deficitu některých opatření v současném programovém období a</w:t>
      </w:r>
      <w:r w:rsidR="003961E4">
        <w:rPr>
          <w:b/>
          <w:sz w:val="24"/>
        </w:rPr>
        <w:t> </w:t>
      </w:r>
      <w:r w:rsidRPr="00DF7F50">
        <w:rPr>
          <w:b/>
          <w:sz w:val="24"/>
        </w:rPr>
        <w:t>zároveň snížení zatížení období následujícího.</w:t>
      </w:r>
    </w:p>
    <w:p w:rsidR="002D58DB" w:rsidRPr="005B7197" w:rsidRDefault="002D58DB" w:rsidP="005B7197">
      <w:pPr>
        <w:spacing w:after="120"/>
        <w:jc w:val="both"/>
        <w:rPr>
          <w:b/>
          <w:sz w:val="24"/>
          <w:u w:val="single"/>
        </w:rPr>
      </w:pPr>
    </w:p>
    <w:p w:rsidR="00851915" w:rsidRPr="00263767" w:rsidRDefault="00851915" w:rsidP="00851915">
      <w:pPr>
        <w:pBdr>
          <w:bottom w:val="single" w:sz="12" w:space="1" w:color="4F6228" w:themeColor="accent3" w:themeShade="80"/>
        </w:pBdr>
        <w:spacing w:line="276" w:lineRule="auto"/>
        <w:jc w:val="both"/>
        <w:rPr>
          <w:b/>
          <w:caps/>
          <w:sz w:val="24"/>
        </w:rPr>
      </w:pPr>
      <w:r>
        <w:rPr>
          <w:b/>
          <w:caps/>
          <w:sz w:val="24"/>
        </w:rPr>
        <w:t>navrhované změny - osa III</w:t>
      </w:r>
    </w:p>
    <w:p w:rsidR="002777D1" w:rsidRPr="002711B6" w:rsidRDefault="002777D1" w:rsidP="00D705C7">
      <w:pPr>
        <w:spacing w:before="240" w:after="120"/>
        <w:jc w:val="both"/>
        <w:rPr>
          <w:b/>
          <w:sz w:val="24"/>
        </w:rPr>
      </w:pPr>
      <w:r w:rsidRPr="002711B6">
        <w:rPr>
          <w:b/>
          <w:sz w:val="24"/>
        </w:rPr>
        <w:t xml:space="preserve">Navrhovány jsou finanční realokace </w:t>
      </w:r>
      <w:r w:rsidR="002D58DB">
        <w:rPr>
          <w:b/>
          <w:sz w:val="24"/>
        </w:rPr>
        <w:t>návazně na osu I, konkrétně:</w:t>
      </w:r>
    </w:p>
    <w:p w:rsidR="002777D1" w:rsidRPr="002711B6" w:rsidRDefault="002711B6" w:rsidP="00DE6239">
      <w:pPr>
        <w:pStyle w:val="Odstavecseseznamem"/>
        <w:numPr>
          <w:ilvl w:val="0"/>
          <w:numId w:val="15"/>
        </w:numPr>
        <w:spacing w:after="120"/>
        <w:jc w:val="both"/>
        <w:rPr>
          <w:b/>
          <w:color w:val="4F6228" w:themeColor="accent3" w:themeShade="80"/>
          <w:sz w:val="24"/>
        </w:rPr>
      </w:pPr>
      <w:r w:rsidRPr="002711B6">
        <w:rPr>
          <w:sz w:val="24"/>
        </w:rPr>
        <w:t>Nedočerpané částky z opatření III.1.3 Podpora cestovního ruchu (313), III.2.1 Obnova a</w:t>
      </w:r>
      <w:r w:rsidR="002E6E6D">
        <w:rPr>
          <w:sz w:val="24"/>
        </w:rPr>
        <w:t> </w:t>
      </w:r>
      <w:r w:rsidRPr="002711B6">
        <w:rPr>
          <w:sz w:val="24"/>
        </w:rPr>
        <w:t>rozvoj vesnic, občanské vybavení a služby (321,</w:t>
      </w:r>
      <w:r>
        <w:rPr>
          <w:sz w:val="24"/>
        </w:rPr>
        <w:t xml:space="preserve"> 322) budou převedeny do rozpočtu </w:t>
      </w:r>
      <w:r w:rsidR="002E6E6D">
        <w:rPr>
          <w:sz w:val="24"/>
        </w:rPr>
        <w:t xml:space="preserve">opatření </w:t>
      </w:r>
      <w:r w:rsidRPr="002711B6">
        <w:rPr>
          <w:sz w:val="24"/>
        </w:rPr>
        <w:t>III.1.2 Podpora zakládání podniků a jejich rozvoje (312)</w:t>
      </w:r>
      <w:r>
        <w:rPr>
          <w:sz w:val="24"/>
        </w:rPr>
        <w:t xml:space="preserve"> a pro toto opatření bude vyhlášeno nové kolo příjmu žádostí</w:t>
      </w:r>
      <w:r w:rsidR="005F1295">
        <w:rPr>
          <w:sz w:val="24"/>
        </w:rPr>
        <w:t>.</w:t>
      </w:r>
    </w:p>
    <w:p w:rsidR="00365ACC" w:rsidRDefault="00365ACC" w:rsidP="00DE6239">
      <w:pPr>
        <w:spacing w:after="120"/>
        <w:jc w:val="both"/>
        <w:rPr>
          <w:b/>
          <w:color w:val="4F6228" w:themeColor="accent3" w:themeShade="80"/>
          <w:sz w:val="24"/>
        </w:rPr>
      </w:pPr>
    </w:p>
    <w:p w:rsidR="00365ACC" w:rsidRPr="00263767" w:rsidRDefault="00365ACC" w:rsidP="00365ACC">
      <w:pPr>
        <w:pBdr>
          <w:bottom w:val="single" w:sz="12" w:space="1" w:color="4F6228" w:themeColor="accent3" w:themeShade="80"/>
        </w:pBdr>
        <w:spacing w:line="276" w:lineRule="auto"/>
        <w:jc w:val="both"/>
        <w:rPr>
          <w:b/>
          <w:caps/>
          <w:sz w:val="24"/>
        </w:rPr>
      </w:pPr>
      <w:r>
        <w:rPr>
          <w:b/>
          <w:caps/>
          <w:sz w:val="24"/>
        </w:rPr>
        <w:t>navrhované změny - osa IV</w:t>
      </w:r>
    </w:p>
    <w:p w:rsidR="0032634A" w:rsidRPr="00CF197F" w:rsidRDefault="0032634A" w:rsidP="00D705C7">
      <w:pPr>
        <w:spacing w:before="240" w:after="120"/>
        <w:ind w:firstLine="709"/>
        <w:jc w:val="both"/>
        <w:rPr>
          <w:sz w:val="24"/>
        </w:rPr>
      </w:pPr>
      <w:r w:rsidRPr="00CF197F">
        <w:rPr>
          <w:sz w:val="24"/>
        </w:rPr>
        <w:t>V rámci 1</w:t>
      </w:r>
      <w:r w:rsidR="00CF197F">
        <w:rPr>
          <w:sz w:val="24"/>
        </w:rPr>
        <w:t>0</w:t>
      </w:r>
      <w:r w:rsidRPr="00CF197F">
        <w:rPr>
          <w:sz w:val="24"/>
        </w:rPr>
        <w:t>. modifikace je dále řešena možnost financovat přípravu strategií místních akčních skupin na období 2014 – 2020 z osy V Technická pomoc Programu rozvoje venkova ČR na období 2007 – 2013.</w:t>
      </w:r>
    </w:p>
    <w:p w:rsidR="0032634A" w:rsidRPr="00CF197F" w:rsidRDefault="0032634A" w:rsidP="005F1295">
      <w:pPr>
        <w:pStyle w:val="Zkladntext"/>
        <w:spacing w:after="120" w:line="276" w:lineRule="auto"/>
        <w:ind w:firstLine="708"/>
        <w:jc w:val="both"/>
        <w:rPr>
          <w:sz w:val="24"/>
        </w:rPr>
      </w:pPr>
      <w:r w:rsidRPr="00CF197F">
        <w:rPr>
          <w:b w:val="0"/>
          <w:bCs/>
          <w:sz w:val="24"/>
        </w:rPr>
        <w:t xml:space="preserve">Aby mohly MAS získat podporu na přípravu strategií místního rozvoje z Technické pomoci, je nutné </w:t>
      </w:r>
      <w:r w:rsidR="00D705C7">
        <w:rPr>
          <w:b w:val="0"/>
          <w:bCs/>
          <w:sz w:val="24"/>
        </w:rPr>
        <w:t>rozšířit</w:t>
      </w:r>
      <w:r w:rsidRPr="00CF197F">
        <w:rPr>
          <w:b w:val="0"/>
          <w:bCs/>
          <w:sz w:val="24"/>
        </w:rPr>
        <w:t xml:space="preserve"> definici příjemce pomoci a doplnit rozsah způsobilých výdajů v opatření V.1</w:t>
      </w:r>
      <w:r w:rsidR="00D705C7">
        <w:rPr>
          <w:b w:val="0"/>
          <w:bCs/>
          <w:sz w:val="24"/>
        </w:rPr>
        <w:t> </w:t>
      </w:r>
      <w:r w:rsidRPr="00CF197F">
        <w:rPr>
          <w:b w:val="0"/>
          <w:bCs/>
          <w:sz w:val="24"/>
        </w:rPr>
        <w:t xml:space="preserve">Příprava, sledování, hodnocení, informování a kontrola v rámci programu. Nyní jsou v programovém dokumentu jako příjemci podpory uvedeni jen Ministerstvo zemědělství, odbor řídící orgán PRV a Státní zemědělský intervenční fond – akreditovaná platební agentura. </w:t>
      </w:r>
    </w:p>
    <w:p w:rsidR="0032634A" w:rsidRPr="00CF197F" w:rsidRDefault="0032634A" w:rsidP="005F1295">
      <w:pPr>
        <w:pStyle w:val="Zkladntext"/>
        <w:spacing w:after="120" w:line="276" w:lineRule="auto"/>
        <w:ind w:firstLine="708"/>
        <w:jc w:val="both"/>
        <w:rPr>
          <w:sz w:val="24"/>
        </w:rPr>
      </w:pPr>
      <w:r w:rsidRPr="00CF197F">
        <w:rPr>
          <w:b w:val="0"/>
          <w:bCs/>
          <w:sz w:val="24"/>
        </w:rPr>
        <w:t>Jako vhodná podpora MAS v přechodném období se dále jeví příspěvek na mzdové prostředky pracovníků podílejících se na přípravě nové strategie. Mzdové prostředky by byly limitovány maximální částkou 30 000 Kč na měsíc čisté mzdy. Max. výše podpory by byla limitována částkou 500 000 Kč na MAS. Celková potřeba finančních prostředků by tedy byla 56</w:t>
      </w:r>
      <w:r w:rsidR="00D705C7">
        <w:rPr>
          <w:b w:val="0"/>
          <w:bCs/>
          <w:sz w:val="24"/>
        </w:rPr>
        <w:t> </w:t>
      </w:r>
      <w:r w:rsidRPr="00CF197F">
        <w:rPr>
          <w:b w:val="0"/>
          <w:bCs/>
          <w:sz w:val="24"/>
        </w:rPr>
        <w:t>mil.</w:t>
      </w:r>
      <w:r w:rsidR="00D705C7">
        <w:rPr>
          <w:b w:val="0"/>
          <w:bCs/>
          <w:sz w:val="24"/>
        </w:rPr>
        <w:t> </w:t>
      </w:r>
      <w:r w:rsidRPr="00CF197F">
        <w:rPr>
          <w:b w:val="0"/>
          <w:bCs/>
          <w:sz w:val="24"/>
        </w:rPr>
        <w:t>Kč.</w:t>
      </w:r>
    </w:p>
    <w:p w:rsidR="0032634A" w:rsidRPr="00CF197F" w:rsidRDefault="0032634A" w:rsidP="005F1295">
      <w:pPr>
        <w:pStyle w:val="Zkladntext"/>
        <w:spacing w:after="120" w:line="276" w:lineRule="auto"/>
        <w:ind w:firstLine="708"/>
        <w:jc w:val="both"/>
        <w:rPr>
          <w:sz w:val="24"/>
        </w:rPr>
      </w:pPr>
      <w:r w:rsidRPr="00CF197F">
        <w:rPr>
          <w:b w:val="0"/>
          <w:bCs/>
          <w:sz w:val="24"/>
        </w:rPr>
        <w:t>Vlivem kurzových rozdílů je nyní v os</w:t>
      </w:r>
      <w:r w:rsidR="005F1295">
        <w:rPr>
          <w:b w:val="0"/>
          <w:bCs/>
          <w:sz w:val="24"/>
        </w:rPr>
        <w:t>e IV LEADER řádově 40 mil. Kč (</w:t>
      </w:r>
      <w:r w:rsidRPr="00CF197F">
        <w:rPr>
          <w:b w:val="0"/>
          <w:bCs/>
          <w:sz w:val="24"/>
        </w:rPr>
        <w:t xml:space="preserve">s aktuální změnou kurzu se mění i přesná částka). Kdybychom tyto prostředky znovu přerozdělili mezi MAS, znamenalo by to v průměru cca 384 tis. Kč na jednu MAS. Z této částky by však každá MAS mohla dle nařízení použít na režijní výdaje max. 20 % a zbytek by musela přerozdělit na projekty konečných žadatelů. Na vlastní režie by jí tak zbylo jen 77 tis. Kč. Proto doporučujeme tyto finanční prostředky převést do osy V, kde by je MAS mohly využít na mzdové prostředky celé. Dalším zdrojem finančních prostředků pro MAS pak může být </w:t>
      </w:r>
      <w:r w:rsidR="00D705C7">
        <w:rPr>
          <w:b w:val="0"/>
          <w:bCs/>
          <w:sz w:val="24"/>
        </w:rPr>
        <w:t>vlastní opatření V.1</w:t>
      </w:r>
      <w:r w:rsidRPr="00CF197F">
        <w:rPr>
          <w:b w:val="0"/>
          <w:bCs/>
          <w:sz w:val="24"/>
        </w:rPr>
        <w:t xml:space="preserve">, kde je nyní k dispozici cca 70 mil. Kč, které by se mohly alespoň částečně využít na podporu schválených MAS při přípravě jejich strategií místního rozvoje pro nadcházející období. </w:t>
      </w:r>
    </w:p>
    <w:p w:rsidR="00504791" w:rsidRDefault="0032634A" w:rsidP="00D705C7">
      <w:pPr>
        <w:pStyle w:val="vet10"/>
        <w:ind w:left="0" w:firstLine="708"/>
        <w:rPr>
          <w:rFonts w:cs="EUAlbertina"/>
          <w:color w:val="000000"/>
        </w:rPr>
      </w:pPr>
      <w:r w:rsidRPr="00CF197F">
        <w:rPr>
          <w:b/>
          <w:bCs/>
        </w:rPr>
        <w:t xml:space="preserve">Konkrétní úprava programového dokumentu se týká finančních tabulek </w:t>
      </w:r>
      <w:r w:rsidR="00D705C7">
        <w:rPr>
          <w:b/>
          <w:bCs/>
        </w:rPr>
        <w:t>(</w:t>
      </w:r>
      <w:r w:rsidRPr="00CF197F">
        <w:rPr>
          <w:b/>
          <w:bCs/>
        </w:rPr>
        <w:t>přesun mezi osou IV a V</w:t>
      </w:r>
      <w:r w:rsidR="00D705C7">
        <w:rPr>
          <w:b/>
          <w:bCs/>
        </w:rPr>
        <w:t> ve výši 40 mil. Kč)</w:t>
      </w:r>
      <w:r w:rsidRPr="00CF197F">
        <w:rPr>
          <w:b/>
          <w:bCs/>
        </w:rPr>
        <w:t>, doplnění způsobilého výdaje „náklady na přípravu rozvoje strategií místního rozvoje“</w:t>
      </w:r>
      <w:r w:rsidR="00D705C7">
        <w:rPr>
          <w:b/>
          <w:bCs/>
        </w:rPr>
        <w:t xml:space="preserve"> </w:t>
      </w:r>
      <w:r w:rsidR="005F1295">
        <w:rPr>
          <w:b/>
          <w:bCs/>
        </w:rPr>
        <w:t xml:space="preserve">do </w:t>
      </w:r>
      <w:r w:rsidRPr="00CF197F">
        <w:rPr>
          <w:b/>
          <w:bCs/>
        </w:rPr>
        <w:t xml:space="preserve">opatření </w:t>
      </w:r>
      <w:bookmarkStart w:id="1" w:name="_Toc251662127"/>
      <w:bookmarkStart w:id="2" w:name="_Toc125782084"/>
      <w:bookmarkEnd w:id="1"/>
      <w:bookmarkEnd w:id="2"/>
      <w:r w:rsidRPr="00CF197F">
        <w:rPr>
          <w:b/>
          <w:bCs/>
        </w:rPr>
        <w:t>V.1 Příprava, sledování, hodnocení, informování a</w:t>
      </w:r>
      <w:r w:rsidR="00D705C7">
        <w:rPr>
          <w:b/>
          <w:bCs/>
        </w:rPr>
        <w:t> </w:t>
      </w:r>
      <w:r w:rsidRPr="00CF197F">
        <w:rPr>
          <w:b/>
          <w:bCs/>
        </w:rPr>
        <w:t>kontrola v rámci programu a zařazení MAS  do kategorie příjemců podpory</w:t>
      </w:r>
      <w:r w:rsidR="005F1295">
        <w:rPr>
          <w:b/>
          <w:bCs/>
        </w:rPr>
        <w:t xml:space="preserve"> v témže opatření.</w:t>
      </w:r>
    </w:p>
    <w:sectPr w:rsidR="00504791" w:rsidSect="001D67D3">
      <w:headerReference w:type="default" r:id="rId8"/>
      <w:footerReference w:type="even" r:id="rId9"/>
      <w:footerReference w:type="default" r:id="rId10"/>
      <w:pgSz w:w="11906" w:h="16838"/>
      <w:pgMar w:top="1440" w:right="1080" w:bottom="1440" w:left="1080" w:header="568"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11E4" w:rsidRDefault="009F11E4">
      <w:r>
        <w:separator/>
      </w:r>
    </w:p>
  </w:endnote>
  <w:endnote w:type="continuationSeparator" w:id="0">
    <w:p w:rsidR="009F11E4" w:rsidRDefault="009F11E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EE"/>
    <w:family w:val="swiss"/>
    <w:pitch w:val="variable"/>
    <w:sig w:usb0="61002A87" w:usb1="80000000" w:usb2="00000008" w:usb3="00000000" w:csb0="000101FF" w:csb1="00000000"/>
  </w:font>
  <w:font w:name="EUAlbertina">
    <w:altName w:val="Times New Roman"/>
    <w:panose1 w:val="00000000000000000000"/>
    <w:charset w:val="00"/>
    <w:family w:val="roman"/>
    <w:notTrueType/>
    <w:pitch w:val="default"/>
    <w:sig w:usb0="00000001" w:usb1="00000000" w:usb2="00000000" w:usb3="00000000" w:csb0="0000000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1619" w:rsidRDefault="00854E72" w:rsidP="003B2429">
    <w:pPr>
      <w:pStyle w:val="Zpat"/>
      <w:framePr w:wrap="around" w:vAnchor="text" w:hAnchor="margin" w:xAlign="center" w:y="1"/>
      <w:rPr>
        <w:rStyle w:val="slostrnky"/>
      </w:rPr>
    </w:pPr>
    <w:r>
      <w:rPr>
        <w:rStyle w:val="slostrnky"/>
      </w:rPr>
      <w:fldChar w:fldCharType="begin"/>
    </w:r>
    <w:r w:rsidR="001A1619">
      <w:rPr>
        <w:rStyle w:val="slostrnky"/>
      </w:rPr>
      <w:instrText xml:space="preserve">PAGE  </w:instrText>
    </w:r>
    <w:r>
      <w:rPr>
        <w:rStyle w:val="slostrnky"/>
      </w:rPr>
      <w:fldChar w:fldCharType="end"/>
    </w:r>
  </w:p>
  <w:p w:rsidR="001A1619" w:rsidRDefault="001A1619">
    <w:pPr>
      <w:pStyle w:val="Zpa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86908"/>
      <w:docPartObj>
        <w:docPartGallery w:val="Page Numbers (Bottom of Page)"/>
        <w:docPartUnique/>
      </w:docPartObj>
    </w:sdtPr>
    <w:sdtContent>
      <w:p w:rsidR="001A1619" w:rsidRDefault="00854E72">
        <w:pPr>
          <w:pStyle w:val="Zpat"/>
        </w:pPr>
        <w:r w:rsidRPr="00854E72">
          <w:rPr>
            <w:rFonts w:asciiTheme="majorHAnsi" w:hAnsiTheme="majorHAnsi"/>
            <w:noProof/>
            <w:sz w:val="28"/>
            <w:szCs w:val="28"/>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1" o:spid="_x0000_s4097" type="#_x0000_t176" style="position:absolute;margin-left:-33.55pt;margin-top:11.6pt;width:40.35pt;height:34.75pt;z-index:251661312;visibility:visible;mso-wrap-style:square;mso-width-percent:0;mso-height-percent:0;mso-wrap-distance-left:9pt;mso-wrap-distance-top:0;mso-wrap-distance-right:9pt;mso-wrap-distance-bottom:0;mso-position-horizontal-relative:right-margin-area;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" filled="f" fillcolor="#4f81bd [3204]" stroked="f" strokecolor="#737373 [1789]">
              <v:textbox>
                <w:txbxContent>
                  <w:p w:rsidR="001A1619" w:rsidRDefault="00854E72">
                    <w:pPr>
                      <w:pStyle w:val="Zpat"/>
                      <w:pBdr>
                        <w:top w:val="single" w:sz="12" w:space="1" w:color="9BBB59" w:themeColor="accent3"/>
                        <w:bottom w:val="single" w:sz="48" w:space="1" w:color="9BBB59" w:themeColor="accent3"/>
                      </w:pBdr>
                      <w:jc w:val="center"/>
                      <w:rPr>
                        <w:sz w:val="28"/>
                        <w:szCs w:val="28"/>
                      </w:rPr>
                    </w:pPr>
                    <w:r w:rsidRPr="00854E72">
                      <w:fldChar w:fldCharType="begin"/>
                    </w:r>
                    <w:r w:rsidR="001A1619">
                      <w:instrText xml:space="preserve"> PAGE    \* MERGEFORMAT </w:instrText>
                    </w:r>
                    <w:r w:rsidRPr="00854E72">
                      <w:fldChar w:fldCharType="separate"/>
                    </w:r>
                    <w:r w:rsidR="00694ECE" w:rsidRPr="00694ECE">
                      <w:rPr>
                        <w:noProof/>
                        <w:sz w:val="28"/>
                        <w:szCs w:val="28"/>
                      </w:rPr>
                      <w:t>6</w:t>
                    </w:r>
                    <w:r>
                      <w:rPr>
                        <w:noProof/>
                        <w:sz w:val="28"/>
                        <w:szCs w:val="28"/>
                      </w:rPr>
                      <w:fldChar w:fldCharType="end"/>
                    </w:r>
                  </w:p>
                </w:txbxContent>
              </v:textbox>
              <w10:wrap anchorx="margin" anchory="margin"/>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11E4" w:rsidRDefault="009F11E4">
      <w:r>
        <w:separator/>
      </w:r>
    </w:p>
  </w:footnote>
  <w:footnote w:type="continuationSeparator" w:id="0">
    <w:p w:rsidR="009F11E4" w:rsidRDefault="009F11E4">
      <w:r>
        <w:continuationSeparator/>
      </w:r>
    </w:p>
  </w:footnote>
  <w:footnote w:id="1">
    <w:p w:rsidR="001A1619" w:rsidRPr="002838DC" w:rsidRDefault="001A1619" w:rsidP="005B7197">
      <w:pPr>
        <w:spacing w:after="240" w:line="276" w:lineRule="auto"/>
        <w:jc w:val="both"/>
        <w:rPr>
          <w:sz w:val="20"/>
          <w:szCs w:val="20"/>
        </w:rPr>
      </w:pPr>
      <w:r w:rsidRPr="002838DC">
        <w:rPr>
          <w:rStyle w:val="Znakapoznpodarou"/>
          <w:sz w:val="20"/>
          <w:szCs w:val="20"/>
        </w:rPr>
        <w:footnoteRef/>
      </w:r>
      <w:r w:rsidRPr="002838DC">
        <w:rPr>
          <w:sz w:val="20"/>
          <w:szCs w:val="20"/>
        </w:rPr>
        <w:t xml:space="preserve"> Vzhledem k faktu, že všechny údaje uvedené v této informac</w:t>
      </w:r>
      <w:r>
        <w:rPr>
          <w:sz w:val="20"/>
          <w:szCs w:val="20"/>
        </w:rPr>
        <w:t>i se vztahují k datu 30. 9. 2013</w:t>
      </w:r>
      <w:r w:rsidRPr="002838DC">
        <w:rPr>
          <w:sz w:val="20"/>
          <w:szCs w:val="20"/>
        </w:rPr>
        <w:t xml:space="preserve"> </w:t>
      </w:r>
      <w:r>
        <w:rPr>
          <w:sz w:val="20"/>
          <w:szCs w:val="20"/>
        </w:rPr>
        <w:t xml:space="preserve">nemohou být všechny žádosti přijaté v prodlouženém kole </w:t>
      </w:r>
      <w:r w:rsidRPr="002838DC">
        <w:rPr>
          <w:sz w:val="20"/>
          <w:szCs w:val="20"/>
        </w:rPr>
        <w:t>započteny do celkových údajů uvedených</w:t>
      </w:r>
      <w:r>
        <w:rPr>
          <w:sz w:val="20"/>
          <w:szCs w:val="20"/>
        </w:rPr>
        <w:t xml:space="preserve"> v tomto dokumentu</w:t>
      </w:r>
      <w:r w:rsidRPr="002838DC">
        <w:rPr>
          <w:sz w:val="20"/>
          <w:szCs w:val="20"/>
        </w:rPr>
        <w:t>.</w:t>
      </w:r>
    </w:p>
    <w:p w:rsidR="001A1619" w:rsidRDefault="001A1619" w:rsidP="005B7197">
      <w:pPr>
        <w:pStyle w:val="Textpoznpodarou"/>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1619" w:rsidRPr="00AD62DE" w:rsidRDefault="001A1619" w:rsidP="00AD62DE">
    <w:pPr>
      <w:pStyle w:val="Zhlav"/>
      <w:rPr>
        <w:b/>
        <w:sz w:val="20"/>
      </w:rPr>
    </w:pPr>
    <w:r>
      <w:rPr>
        <w:b/>
        <w:noProof/>
        <w:sz w:val="20"/>
      </w:rPr>
      <w:drawing>
        <wp:anchor distT="0" distB="0" distL="114300" distR="114300" simplePos="0" relativeHeight="251659264" behindDoc="1" locked="0" layoutInCell="1" allowOverlap="1">
          <wp:simplePos x="0" y="0"/>
          <wp:positionH relativeFrom="margin">
            <wp:posOffset>5219700</wp:posOffset>
          </wp:positionH>
          <wp:positionV relativeFrom="margin">
            <wp:posOffset>-790575</wp:posOffset>
          </wp:positionV>
          <wp:extent cx="981710" cy="447675"/>
          <wp:effectExtent l="19050" t="0" r="8890" b="0"/>
          <wp:wrapNone/>
          <wp:docPr id="1" name="obrázek 3" descr="PRV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descr="PRV_logo"/>
                  <pic:cNvPicPr>
                    <a:picLocks noChangeAspect="1" noChangeArrowheads="1"/>
                  </pic:cNvPicPr>
                </pic:nvPicPr>
                <pic:blipFill>
                  <a:blip r:embed="rId1"/>
                  <a:srcRect/>
                  <a:stretch>
                    <a:fillRect/>
                  </a:stretch>
                </pic:blipFill>
                <pic:spPr bwMode="auto">
                  <a:xfrm>
                    <a:off x="0" y="0"/>
                    <a:ext cx="981710" cy="447675"/>
                  </a:xfrm>
                  <a:prstGeom prst="rect">
                    <a:avLst/>
                  </a:prstGeom>
                  <a:noFill/>
                  <a:ln w="9525">
                    <a:noFill/>
                    <a:miter lim="800000"/>
                    <a:headEnd/>
                    <a:tailEnd/>
                  </a:ln>
                </pic:spPr>
              </pic:pic>
            </a:graphicData>
          </a:graphic>
        </wp:anchor>
      </w:drawing>
    </w:r>
    <w:r w:rsidRPr="00AD62DE">
      <w:rPr>
        <w:sz w:val="20"/>
      </w:rPr>
      <w:t>1</w:t>
    </w:r>
    <w:r>
      <w:rPr>
        <w:sz w:val="20"/>
      </w:rPr>
      <w:t>5</w:t>
    </w:r>
    <w:r w:rsidRPr="00AD62DE">
      <w:rPr>
        <w:sz w:val="20"/>
      </w:rPr>
      <w:t xml:space="preserve">. zasedání MV </w:t>
    </w:r>
    <w:r w:rsidRPr="00DA59A0">
      <w:rPr>
        <w:sz w:val="20"/>
      </w:rPr>
      <w:t xml:space="preserve">PRV </w:t>
    </w:r>
    <w:r>
      <w:rPr>
        <w:sz w:val="20"/>
      </w:rPr>
      <w:t>6</w:t>
    </w:r>
    <w:r w:rsidRPr="00DA59A0">
      <w:rPr>
        <w:sz w:val="20"/>
      </w:rPr>
      <w:t xml:space="preserve">. 11. 2013 – </w:t>
    </w:r>
    <w:r w:rsidRPr="00DA59A0">
      <w:rPr>
        <w:b/>
        <w:sz w:val="20"/>
      </w:rPr>
      <w:t xml:space="preserve">bod </w:t>
    </w:r>
    <w:r>
      <w:rPr>
        <w:b/>
        <w:sz w:val="20"/>
      </w:rPr>
      <w:t>3</w:t>
    </w:r>
    <w:r w:rsidRPr="00DA59A0">
      <w:rPr>
        <w:b/>
        <w:sz w:val="20"/>
      </w:rPr>
      <w:t xml:space="preserve">) </w:t>
    </w:r>
    <w:r w:rsidRPr="001245CE">
      <w:rPr>
        <w:b/>
        <w:sz w:val="20"/>
      </w:rPr>
      <w:t>Informace o úpravách programového dokumentu</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C1AF7"/>
    <w:multiLevelType w:val="hybridMultilevel"/>
    <w:tmpl w:val="609A5E78"/>
    <w:lvl w:ilvl="0" w:tplc="04050001">
      <w:start w:val="1"/>
      <w:numFmt w:val="bullet"/>
      <w:lvlText w:val=""/>
      <w:lvlJc w:val="left"/>
      <w:pPr>
        <w:tabs>
          <w:tab w:val="num" w:pos="1485"/>
        </w:tabs>
        <w:ind w:left="1485" w:hanging="360"/>
      </w:pPr>
      <w:rPr>
        <w:rFonts w:ascii="Symbol" w:hAnsi="Symbol" w:hint="default"/>
      </w:rPr>
    </w:lvl>
    <w:lvl w:ilvl="1" w:tplc="04050003">
      <w:start w:val="1"/>
      <w:numFmt w:val="bullet"/>
      <w:lvlText w:val="o"/>
      <w:lvlJc w:val="left"/>
      <w:pPr>
        <w:tabs>
          <w:tab w:val="num" w:pos="2205"/>
        </w:tabs>
        <w:ind w:left="2205" w:hanging="360"/>
      </w:pPr>
      <w:rPr>
        <w:rFonts w:ascii="Courier New" w:hAnsi="Courier New" w:hint="default"/>
      </w:rPr>
    </w:lvl>
    <w:lvl w:ilvl="2" w:tplc="04050005">
      <w:start w:val="1"/>
      <w:numFmt w:val="bullet"/>
      <w:lvlText w:val=""/>
      <w:lvlJc w:val="left"/>
      <w:pPr>
        <w:tabs>
          <w:tab w:val="num" w:pos="2925"/>
        </w:tabs>
        <w:ind w:left="2925" w:hanging="360"/>
      </w:pPr>
      <w:rPr>
        <w:rFonts w:ascii="Wingdings" w:hAnsi="Wingdings" w:hint="default"/>
      </w:rPr>
    </w:lvl>
    <w:lvl w:ilvl="3" w:tplc="04050001">
      <w:start w:val="1"/>
      <w:numFmt w:val="bullet"/>
      <w:lvlText w:val=""/>
      <w:lvlJc w:val="left"/>
      <w:pPr>
        <w:tabs>
          <w:tab w:val="num" w:pos="3645"/>
        </w:tabs>
        <w:ind w:left="3645" w:hanging="360"/>
      </w:pPr>
      <w:rPr>
        <w:rFonts w:ascii="Symbol" w:hAnsi="Symbol" w:hint="default"/>
      </w:rPr>
    </w:lvl>
    <w:lvl w:ilvl="4" w:tplc="04050003">
      <w:start w:val="1"/>
      <w:numFmt w:val="bullet"/>
      <w:lvlText w:val="o"/>
      <w:lvlJc w:val="left"/>
      <w:pPr>
        <w:tabs>
          <w:tab w:val="num" w:pos="4365"/>
        </w:tabs>
        <w:ind w:left="4365" w:hanging="360"/>
      </w:pPr>
      <w:rPr>
        <w:rFonts w:ascii="Courier New" w:hAnsi="Courier New" w:hint="default"/>
      </w:rPr>
    </w:lvl>
    <w:lvl w:ilvl="5" w:tplc="04050005">
      <w:start w:val="1"/>
      <w:numFmt w:val="bullet"/>
      <w:lvlText w:val=""/>
      <w:lvlJc w:val="left"/>
      <w:pPr>
        <w:tabs>
          <w:tab w:val="num" w:pos="5085"/>
        </w:tabs>
        <w:ind w:left="5085" w:hanging="360"/>
      </w:pPr>
      <w:rPr>
        <w:rFonts w:ascii="Wingdings" w:hAnsi="Wingdings" w:hint="default"/>
      </w:rPr>
    </w:lvl>
    <w:lvl w:ilvl="6" w:tplc="04050001">
      <w:start w:val="1"/>
      <w:numFmt w:val="bullet"/>
      <w:lvlText w:val=""/>
      <w:lvlJc w:val="left"/>
      <w:pPr>
        <w:tabs>
          <w:tab w:val="num" w:pos="5805"/>
        </w:tabs>
        <w:ind w:left="5805" w:hanging="360"/>
      </w:pPr>
      <w:rPr>
        <w:rFonts w:ascii="Symbol" w:hAnsi="Symbol" w:hint="default"/>
      </w:rPr>
    </w:lvl>
    <w:lvl w:ilvl="7" w:tplc="04050003">
      <w:start w:val="1"/>
      <w:numFmt w:val="bullet"/>
      <w:lvlText w:val="o"/>
      <w:lvlJc w:val="left"/>
      <w:pPr>
        <w:tabs>
          <w:tab w:val="num" w:pos="6525"/>
        </w:tabs>
        <w:ind w:left="6525" w:hanging="360"/>
      </w:pPr>
      <w:rPr>
        <w:rFonts w:ascii="Courier New" w:hAnsi="Courier New" w:hint="default"/>
      </w:rPr>
    </w:lvl>
    <w:lvl w:ilvl="8" w:tplc="04050005">
      <w:start w:val="1"/>
      <w:numFmt w:val="bullet"/>
      <w:lvlText w:val=""/>
      <w:lvlJc w:val="left"/>
      <w:pPr>
        <w:tabs>
          <w:tab w:val="num" w:pos="7245"/>
        </w:tabs>
        <w:ind w:left="7245" w:hanging="360"/>
      </w:pPr>
      <w:rPr>
        <w:rFonts w:ascii="Wingdings" w:hAnsi="Wingdings" w:hint="default"/>
      </w:rPr>
    </w:lvl>
  </w:abstractNum>
  <w:abstractNum w:abstractNumId="1">
    <w:nsid w:val="02A40430"/>
    <w:multiLevelType w:val="hybridMultilevel"/>
    <w:tmpl w:val="911C4FC0"/>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02DD79D8"/>
    <w:multiLevelType w:val="hybridMultilevel"/>
    <w:tmpl w:val="5BBA65C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048D3D1A"/>
    <w:multiLevelType w:val="hybridMultilevel"/>
    <w:tmpl w:val="9FA06EE8"/>
    <w:lvl w:ilvl="0" w:tplc="D59A1EBE">
      <w:start w:val="1"/>
      <w:numFmt w:val="decimal"/>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4">
    <w:nsid w:val="0EDF2274"/>
    <w:multiLevelType w:val="hybridMultilevel"/>
    <w:tmpl w:val="E2CC51DC"/>
    <w:lvl w:ilvl="0" w:tplc="04050001">
      <w:start w:val="1"/>
      <w:numFmt w:val="bullet"/>
      <w:lvlText w:val=""/>
      <w:lvlJc w:val="left"/>
      <w:pPr>
        <w:tabs>
          <w:tab w:val="num" w:pos="1605"/>
        </w:tabs>
        <w:ind w:left="1605" w:hanging="360"/>
      </w:pPr>
      <w:rPr>
        <w:rFonts w:ascii="Symbol" w:hAnsi="Symbol" w:hint="default"/>
      </w:rPr>
    </w:lvl>
    <w:lvl w:ilvl="1" w:tplc="04050003">
      <w:start w:val="1"/>
      <w:numFmt w:val="bullet"/>
      <w:lvlText w:val="o"/>
      <w:lvlJc w:val="left"/>
      <w:pPr>
        <w:tabs>
          <w:tab w:val="num" w:pos="2325"/>
        </w:tabs>
        <w:ind w:left="2325" w:hanging="360"/>
      </w:pPr>
      <w:rPr>
        <w:rFonts w:ascii="Courier New" w:hAnsi="Courier New" w:hint="default"/>
      </w:rPr>
    </w:lvl>
    <w:lvl w:ilvl="2" w:tplc="04050005">
      <w:start w:val="1"/>
      <w:numFmt w:val="bullet"/>
      <w:lvlText w:val=""/>
      <w:lvlJc w:val="left"/>
      <w:pPr>
        <w:tabs>
          <w:tab w:val="num" w:pos="3045"/>
        </w:tabs>
        <w:ind w:left="3045" w:hanging="360"/>
      </w:pPr>
      <w:rPr>
        <w:rFonts w:ascii="Wingdings" w:hAnsi="Wingdings" w:hint="default"/>
      </w:rPr>
    </w:lvl>
    <w:lvl w:ilvl="3" w:tplc="04050001">
      <w:start w:val="1"/>
      <w:numFmt w:val="bullet"/>
      <w:lvlText w:val=""/>
      <w:lvlJc w:val="left"/>
      <w:pPr>
        <w:tabs>
          <w:tab w:val="num" w:pos="3765"/>
        </w:tabs>
        <w:ind w:left="3765" w:hanging="360"/>
      </w:pPr>
      <w:rPr>
        <w:rFonts w:ascii="Symbol" w:hAnsi="Symbol" w:hint="default"/>
      </w:rPr>
    </w:lvl>
    <w:lvl w:ilvl="4" w:tplc="04050003">
      <w:start w:val="1"/>
      <w:numFmt w:val="bullet"/>
      <w:lvlText w:val="o"/>
      <w:lvlJc w:val="left"/>
      <w:pPr>
        <w:tabs>
          <w:tab w:val="num" w:pos="4485"/>
        </w:tabs>
        <w:ind w:left="4485" w:hanging="360"/>
      </w:pPr>
      <w:rPr>
        <w:rFonts w:ascii="Courier New" w:hAnsi="Courier New" w:hint="default"/>
      </w:rPr>
    </w:lvl>
    <w:lvl w:ilvl="5" w:tplc="04050005">
      <w:start w:val="1"/>
      <w:numFmt w:val="bullet"/>
      <w:lvlText w:val=""/>
      <w:lvlJc w:val="left"/>
      <w:pPr>
        <w:tabs>
          <w:tab w:val="num" w:pos="5205"/>
        </w:tabs>
        <w:ind w:left="5205" w:hanging="360"/>
      </w:pPr>
      <w:rPr>
        <w:rFonts w:ascii="Wingdings" w:hAnsi="Wingdings" w:hint="default"/>
      </w:rPr>
    </w:lvl>
    <w:lvl w:ilvl="6" w:tplc="04050001">
      <w:start w:val="1"/>
      <w:numFmt w:val="bullet"/>
      <w:lvlText w:val=""/>
      <w:lvlJc w:val="left"/>
      <w:pPr>
        <w:tabs>
          <w:tab w:val="num" w:pos="5925"/>
        </w:tabs>
        <w:ind w:left="5925" w:hanging="360"/>
      </w:pPr>
      <w:rPr>
        <w:rFonts w:ascii="Symbol" w:hAnsi="Symbol" w:hint="default"/>
      </w:rPr>
    </w:lvl>
    <w:lvl w:ilvl="7" w:tplc="04050003">
      <w:start w:val="1"/>
      <w:numFmt w:val="bullet"/>
      <w:lvlText w:val="o"/>
      <w:lvlJc w:val="left"/>
      <w:pPr>
        <w:tabs>
          <w:tab w:val="num" w:pos="6645"/>
        </w:tabs>
        <w:ind w:left="6645" w:hanging="360"/>
      </w:pPr>
      <w:rPr>
        <w:rFonts w:ascii="Courier New" w:hAnsi="Courier New" w:hint="default"/>
      </w:rPr>
    </w:lvl>
    <w:lvl w:ilvl="8" w:tplc="04050005">
      <w:start w:val="1"/>
      <w:numFmt w:val="bullet"/>
      <w:lvlText w:val=""/>
      <w:lvlJc w:val="left"/>
      <w:pPr>
        <w:tabs>
          <w:tab w:val="num" w:pos="7365"/>
        </w:tabs>
        <w:ind w:left="7365" w:hanging="360"/>
      </w:pPr>
      <w:rPr>
        <w:rFonts w:ascii="Wingdings" w:hAnsi="Wingdings" w:hint="default"/>
      </w:rPr>
    </w:lvl>
  </w:abstractNum>
  <w:abstractNum w:abstractNumId="5">
    <w:nsid w:val="170D0C3D"/>
    <w:multiLevelType w:val="hybridMultilevel"/>
    <w:tmpl w:val="0CCAF35E"/>
    <w:lvl w:ilvl="0" w:tplc="BE88F8C4">
      <w:start w:val="750"/>
      <w:numFmt w:val="bullet"/>
      <w:lvlText w:val="-"/>
      <w:lvlJc w:val="left"/>
      <w:pPr>
        <w:ind w:left="1068" w:hanging="360"/>
      </w:pPr>
      <w:rPr>
        <w:rFonts w:ascii="Times New Roman" w:eastAsia="Times New Roman" w:hAnsi="Times New Roman" w:cs="Times New Roman"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6">
    <w:nsid w:val="1B5B32B7"/>
    <w:multiLevelType w:val="hybridMultilevel"/>
    <w:tmpl w:val="ACEA407E"/>
    <w:lvl w:ilvl="0" w:tplc="04050001">
      <w:start w:val="1"/>
      <w:numFmt w:val="bullet"/>
      <w:lvlText w:val=""/>
      <w:lvlJc w:val="left"/>
      <w:pPr>
        <w:ind w:left="1364" w:hanging="360"/>
      </w:pPr>
      <w:rPr>
        <w:rFonts w:ascii="Symbol" w:hAnsi="Symbol" w:hint="default"/>
      </w:rPr>
    </w:lvl>
    <w:lvl w:ilvl="1" w:tplc="04050003" w:tentative="1">
      <w:start w:val="1"/>
      <w:numFmt w:val="bullet"/>
      <w:lvlText w:val="o"/>
      <w:lvlJc w:val="left"/>
      <w:pPr>
        <w:ind w:left="2084" w:hanging="360"/>
      </w:pPr>
      <w:rPr>
        <w:rFonts w:ascii="Courier New" w:hAnsi="Courier New" w:cs="Courier New" w:hint="default"/>
      </w:rPr>
    </w:lvl>
    <w:lvl w:ilvl="2" w:tplc="04050005" w:tentative="1">
      <w:start w:val="1"/>
      <w:numFmt w:val="bullet"/>
      <w:lvlText w:val=""/>
      <w:lvlJc w:val="left"/>
      <w:pPr>
        <w:ind w:left="2804" w:hanging="360"/>
      </w:pPr>
      <w:rPr>
        <w:rFonts w:ascii="Wingdings" w:hAnsi="Wingdings" w:hint="default"/>
      </w:rPr>
    </w:lvl>
    <w:lvl w:ilvl="3" w:tplc="04050001" w:tentative="1">
      <w:start w:val="1"/>
      <w:numFmt w:val="bullet"/>
      <w:lvlText w:val=""/>
      <w:lvlJc w:val="left"/>
      <w:pPr>
        <w:ind w:left="3524" w:hanging="360"/>
      </w:pPr>
      <w:rPr>
        <w:rFonts w:ascii="Symbol" w:hAnsi="Symbol" w:hint="default"/>
      </w:rPr>
    </w:lvl>
    <w:lvl w:ilvl="4" w:tplc="04050003" w:tentative="1">
      <w:start w:val="1"/>
      <w:numFmt w:val="bullet"/>
      <w:lvlText w:val="o"/>
      <w:lvlJc w:val="left"/>
      <w:pPr>
        <w:ind w:left="4244" w:hanging="360"/>
      </w:pPr>
      <w:rPr>
        <w:rFonts w:ascii="Courier New" w:hAnsi="Courier New" w:cs="Courier New" w:hint="default"/>
      </w:rPr>
    </w:lvl>
    <w:lvl w:ilvl="5" w:tplc="04050005" w:tentative="1">
      <w:start w:val="1"/>
      <w:numFmt w:val="bullet"/>
      <w:lvlText w:val=""/>
      <w:lvlJc w:val="left"/>
      <w:pPr>
        <w:ind w:left="4964" w:hanging="360"/>
      </w:pPr>
      <w:rPr>
        <w:rFonts w:ascii="Wingdings" w:hAnsi="Wingdings" w:hint="default"/>
      </w:rPr>
    </w:lvl>
    <w:lvl w:ilvl="6" w:tplc="04050001" w:tentative="1">
      <w:start w:val="1"/>
      <w:numFmt w:val="bullet"/>
      <w:lvlText w:val=""/>
      <w:lvlJc w:val="left"/>
      <w:pPr>
        <w:ind w:left="5684" w:hanging="360"/>
      </w:pPr>
      <w:rPr>
        <w:rFonts w:ascii="Symbol" w:hAnsi="Symbol" w:hint="default"/>
      </w:rPr>
    </w:lvl>
    <w:lvl w:ilvl="7" w:tplc="04050003" w:tentative="1">
      <w:start w:val="1"/>
      <w:numFmt w:val="bullet"/>
      <w:lvlText w:val="o"/>
      <w:lvlJc w:val="left"/>
      <w:pPr>
        <w:ind w:left="6404" w:hanging="360"/>
      </w:pPr>
      <w:rPr>
        <w:rFonts w:ascii="Courier New" w:hAnsi="Courier New" w:cs="Courier New" w:hint="default"/>
      </w:rPr>
    </w:lvl>
    <w:lvl w:ilvl="8" w:tplc="04050005" w:tentative="1">
      <w:start w:val="1"/>
      <w:numFmt w:val="bullet"/>
      <w:lvlText w:val=""/>
      <w:lvlJc w:val="left"/>
      <w:pPr>
        <w:ind w:left="7124" w:hanging="360"/>
      </w:pPr>
      <w:rPr>
        <w:rFonts w:ascii="Wingdings" w:hAnsi="Wingdings" w:hint="default"/>
      </w:rPr>
    </w:lvl>
  </w:abstractNum>
  <w:abstractNum w:abstractNumId="7">
    <w:nsid w:val="20730425"/>
    <w:multiLevelType w:val="hybridMultilevel"/>
    <w:tmpl w:val="8F203154"/>
    <w:lvl w:ilvl="0" w:tplc="F2428FF0">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292D61A3"/>
    <w:multiLevelType w:val="hybridMultilevel"/>
    <w:tmpl w:val="E17E5AF4"/>
    <w:lvl w:ilvl="0" w:tplc="B0C05AD8">
      <w:start w:val="1"/>
      <w:numFmt w:val="bullet"/>
      <w:lvlText w:val=""/>
      <w:lvlJc w:val="left"/>
      <w:pPr>
        <w:tabs>
          <w:tab w:val="num" w:pos="720"/>
        </w:tabs>
        <w:ind w:left="720" w:hanging="360"/>
      </w:pPr>
      <w:rPr>
        <w:rFonts w:ascii="Wingdings" w:hAnsi="Wingdings" w:hint="default"/>
      </w:rPr>
    </w:lvl>
    <w:lvl w:ilvl="1" w:tplc="8FE0FD78">
      <w:start w:val="1089"/>
      <w:numFmt w:val="bullet"/>
      <w:lvlText w:val=""/>
      <w:lvlJc w:val="left"/>
      <w:pPr>
        <w:tabs>
          <w:tab w:val="num" w:pos="1440"/>
        </w:tabs>
        <w:ind w:left="1440" w:hanging="360"/>
      </w:pPr>
      <w:rPr>
        <w:rFonts w:ascii="Wingdings" w:hAnsi="Wingdings" w:hint="default"/>
      </w:rPr>
    </w:lvl>
    <w:lvl w:ilvl="2" w:tplc="81A047BA" w:tentative="1">
      <w:start w:val="1"/>
      <w:numFmt w:val="bullet"/>
      <w:lvlText w:val=""/>
      <w:lvlJc w:val="left"/>
      <w:pPr>
        <w:tabs>
          <w:tab w:val="num" w:pos="2160"/>
        </w:tabs>
        <w:ind w:left="2160" w:hanging="360"/>
      </w:pPr>
      <w:rPr>
        <w:rFonts w:ascii="Wingdings" w:hAnsi="Wingdings" w:hint="default"/>
      </w:rPr>
    </w:lvl>
    <w:lvl w:ilvl="3" w:tplc="F85C7D52" w:tentative="1">
      <w:start w:val="1"/>
      <w:numFmt w:val="bullet"/>
      <w:lvlText w:val=""/>
      <w:lvlJc w:val="left"/>
      <w:pPr>
        <w:tabs>
          <w:tab w:val="num" w:pos="2880"/>
        </w:tabs>
        <w:ind w:left="2880" w:hanging="360"/>
      </w:pPr>
      <w:rPr>
        <w:rFonts w:ascii="Wingdings" w:hAnsi="Wingdings" w:hint="default"/>
      </w:rPr>
    </w:lvl>
    <w:lvl w:ilvl="4" w:tplc="4740E6B6" w:tentative="1">
      <w:start w:val="1"/>
      <w:numFmt w:val="bullet"/>
      <w:lvlText w:val=""/>
      <w:lvlJc w:val="left"/>
      <w:pPr>
        <w:tabs>
          <w:tab w:val="num" w:pos="3600"/>
        </w:tabs>
        <w:ind w:left="3600" w:hanging="360"/>
      </w:pPr>
      <w:rPr>
        <w:rFonts w:ascii="Wingdings" w:hAnsi="Wingdings" w:hint="default"/>
      </w:rPr>
    </w:lvl>
    <w:lvl w:ilvl="5" w:tplc="5922C83E" w:tentative="1">
      <w:start w:val="1"/>
      <w:numFmt w:val="bullet"/>
      <w:lvlText w:val=""/>
      <w:lvlJc w:val="left"/>
      <w:pPr>
        <w:tabs>
          <w:tab w:val="num" w:pos="4320"/>
        </w:tabs>
        <w:ind w:left="4320" w:hanging="360"/>
      </w:pPr>
      <w:rPr>
        <w:rFonts w:ascii="Wingdings" w:hAnsi="Wingdings" w:hint="default"/>
      </w:rPr>
    </w:lvl>
    <w:lvl w:ilvl="6" w:tplc="75DC0848" w:tentative="1">
      <w:start w:val="1"/>
      <w:numFmt w:val="bullet"/>
      <w:lvlText w:val=""/>
      <w:lvlJc w:val="left"/>
      <w:pPr>
        <w:tabs>
          <w:tab w:val="num" w:pos="5040"/>
        </w:tabs>
        <w:ind w:left="5040" w:hanging="360"/>
      </w:pPr>
      <w:rPr>
        <w:rFonts w:ascii="Wingdings" w:hAnsi="Wingdings" w:hint="default"/>
      </w:rPr>
    </w:lvl>
    <w:lvl w:ilvl="7" w:tplc="EB560234" w:tentative="1">
      <w:start w:val="1"/>
      <w:numFmt w:val="bullet"/>
      <w:lvlText w:val=""/>
      <w:lvlJc w:val="left"/>
      <w:pPr>
        <w:tabs>
          <w:tab w:val="num" w:pos="5760"/>
        </w:tabs>
        <w:ind w:left="5760" w:hanging="360"/>
      </w:pPr>
      <w:rPr>
        <w:rFonts w:ascii="Wingdings" w:hAnsi="Wingdings" w:hint="default"/>
      </w:rPr>
    </w:lvl>
    <w:lvl w:ilvl="8" w:tplc="FBC449FE" w:tentative="1">
      <w:start w:val="1"/>
      <w:numFmt w:val="bullet"/>
      <w:lvlText w:val=""/>
      <w:lvlJc w:val="left"/>
      <w:pPr>
        <w:tabs>
          <w:tab w:val="num" w:pos="6480"/>
        </w:tabs>
        <w:ind w:left="6480" w:hanging="360"/>
      </w:pPr>
      <w:rPr>
        <w:rFonts w:ascii="Wingdings" w:hAnsi="Wingdings" w:hint="default"/>
      </w:rPr>
    </w:lvl>
  </w:abstractNum>
  <w:abstractNum w:abstractNumId="9">
    <w:nsid w:val="295C760F"/>
    <w:multiLevelType w:val="hybridMultilevel"/>
    <w:tmpl w:val="0A4C6BA0"/>
    <w:lvl w:ilvl="0" w:tplc="02B29FDA">
      <w:start w:val="1"/>
      <w:numFmt w:val="bullet"/>
      <w:lvlText w:val=""/>
      <w:lvlJc w:val="left"/>
      <w:pPr>
        <w:tabs>
          <w:tab w:val="num" w:pos="720"/>
        </w:tabs>
        <w:ind w:left="720" w:hanging="360"/>
      </w:pPr>
      <w:rPr>
        <w:rFonts w:ascii="Wingdings" w:hAnsi="Wingdings" w:hint="default"/>
      </w:rPr>
    </w:lvl>
    <w:lvl w:ilvl="1" w:tplc="03A8A634" w:tentative="1">
      <w:start w:val="1"/>
      <w:numFmt w:val="bullet"/>
      <w:lvlText w:val=""/>
      <w:lvlJc w:val="left"/>
      <w:pPr>
        <w:tabs>
          <w:tab w:val="num" w:pos="1440"/>
        </w:tabs>
        <w:ind w:left="1440" w:hanging="360"/>
      </w:pPr>
      <w:rPr>
        <w:rFonts w:ascii="Wingdings" w:hAnsi="Wingdings" w:hint="default"/>
      </w:rPr>
    </w:lvl>
    <w:lvl w:ilvl="2" w:tplc="A88C7328" w:tentative="1">
      <w:start w:val="1"/>
      <w:numFmt w:val="bullet"/>
      <w:lvlText w:val=""/>
      <w:lvlJc w:val="left"/>
      <w:pPr>
        <w:tabs>
          <w:tab w:val="num" w:pos="2160"/>
        </w:tabs>
        <w:ind w:left="2160" w:hanging="360"/>
      </w:pPr>
      <w:rPr>
        <w:rFonts w:ascii="Wingdings" w:hAnsi="Wingdings" w:hint="default"/>
      </w:rPr>
    </w:lvl>
    <w:lvl w:ilvl="3" w:tplc="69A8DA7E" w:tentative="1">
      <w:start w:val="1"/>
      <w:numFmt w:val="bullet"/>
      <w:lvlText w:val=""/>
      <w:lvlJc w:val="left"/>
      <w:pPr>
        <w:tabs>
          <w:tab w:val="num" w:pos="2880"/>
        </w:tabs>
        <w:ind w:left="2880" w:hanging="360"/>
      </w:pPr>
      <w:rPr>
        <w:rFonts w:ascii="Wingdings" w:hAnsi="Wingdings" w:hint="default"/>
      </w:rPr>
    </w:lvl>
    <w:lvl w:ilvl="4" w:tplc="C22A4EEC" w:tentative="1">
      <w:start w:val="1"/>
      <w:numFmt w:val="bullet"/>
      <w:lvlText w:val=""/>
      <w:lvlJc w:val="left"/>
      <w:pPr>
        <w:tabs>
          <w:tab w:val="num" w:pos="3600"/>
        </w:tabs>
        <w:ind w:left="3600" w:hanging="360"/>
      </w:pPr>
      <w:rPr>
        <w:rFonts w:ascii="Wingdings" w:hAnsi="Wingdings" w:hint="default"/>
      </w:rPr>
    </w:lvl>
    <w:lvl w:ilvl="5" w:tplc="036C7F82" w:tentative="1">
      <w:start w:val="1"/>
      <w:numFmt w:val="bullet"/>
      <w:lvlText w:val=""/>
      <w:lvlJc w:val="left"/>
      <w:pPr>
        <w:tabs>
          <w:tab w:val="num" w:pos="4320"/>
        </w:tabs>
        <w:ind w:left="4320" w:hanging="360"/>
      </w:pPr>
      <w:rPr>
        <w:rFonts w:ascii="Wingdings" w:hAnsi="Wingdings" w:hint="default"/>
      </w:rPr>
    </w:lvl>
    <w:lvl w:ilvl="6" w:tplc="104EDD86" w:tentative="1">
      <w:start w:val="1"/>
      <w:numFmt w:val="bullet"/>
      <w:lvlText w:val=""/>
      <w:lvlJc w:val="left"/>
      <w:pPr>
        <w:tabs>
          <w:tab w:val="num" w:pos="5040"/>
        </w:tabs>
        <w:ind w:left="5040" w:hanging="360"/>
      </w:pPr>
      <w:rPr>
        <w:rFonts w:ascii="Wingdings" w:hAnsi="Wingdings" w:hint="default"/>
      </w:rPr>
    </w:lvl>
    <w:lvl w:ilvl="7" w:tplc="DF24F57A" w:tentative="1">
      <w:start w:val="1"/>
      <w:numFmt w:val="bullet"/>
      <w:lvlText w:val=""/>
      <w:lvlJc w:val="left"/>
      <w:pPr>
        <w:tabs>
          <w:tab w:val="num" w:pos="5760"/>
        </w:tabs>
        <w:ind w:left="5760" w:hanging="360"/>
      </w:pPr>
      <w:rPr>
        <w:rFonts w:ascii="Wingdings" w:hAnsi="Wingdings" w:hint="default"/>
      </w:rPr>
    </w:lvl>
    <w:lvl w:ilvl="8" w:tplc="DB5CF032" w:tentative="1">
      <w:start w:val="1"/>
      <w:numFmt w:val="bullet"/>
      <w:lvlText w:val=""/>
      <w:lvlJc w:val="left"/>
      <w:pPr>
        <w:tabs>
          <w:tab w:val="num" w:pos="6480"/>
        </w:tabs>
        <w:ind w:left="6480" w:hanging="360"/>
      </w:pPr>
      <w:rPr>
        <w:rFonts w:ascii="Wingdings" w:hAnsi="Wingdings" w:hint="default"/>
      </w:rPr>
    </w:lvl>
  </w:abstractNum>
  <w:abstractNum w:abstractNumId="10">
    <w:nsid w:val="2B6C7CCD"/>
    <w:multiLevelType w:val="hybridMultilevel"/>
    <w:tmpl w:val="45D68968"/>
    <w:lvl w:ilvl="0" w:tplc="0405000B">
      <w:start w:val="1"/>
      <w:numFmt w:val="bullet"/>
      <w:lvlText w:val=""/>
      <w:lvlJc w:val="left"/>
      <w:pPr>
        <w:ind w:left="2753" w:hanging="360"/>
      </w:pPr>
      <w:rPr>
        <w:rFonts w:ascii="Wingdings" w:hAnsi="Wingdings" w:hint="default"/>
      </w:rPr>
    </w:lvl>
    <w:lvl w:ilvl="1" w:tplc="04050003" w:tentative="1">
      <w:start w:val="1"/>
      <w:numFmt w:val="bullet"/>
      <w:lvlText w:val="o"/>
      <w:lvlJc w:val="left"/>
      <w:pPr>
        <w:ind w:left="3473" w:hanging="360"/>
      </w:pPr>
      <w:rPr>
        <w:rFonts w:ascii="Courier New" w:hAnsi="Courier New" w:cs="Courier New" w:hint="default"/>
      </w:rPr>
    </w:lvl>
    <w:lvl w:ilvl="2" w:tplc="04050005" w:tentative="1">
      <w:start w:val="1"/>
      <w:numFmt w:val="bullet"/>
      <w:lvlText w:val=""/>
      <w:lvlJc w:val="left"/>
      <w:pPr>
        <w:ind w:left="4193" w:hanging="360"/>
      </w:pPr>
      <w:rPr>
        <w:rFonts w:ascii="Wingdings" w:hAnsi="Wingdings" w:hint="default"/>
      </w:rPr>
    </w:lvl>
    <w:lvl w:ilvl="3" w:tplc="04050001" w:tentative="1">
      <w:start w:val="1"/>
      <w:numFmt w:val="bullet"/>
      <w:lvlText w:val=""/>
      <w:lvlJc w:val="left"/>
      <w:pPr>
        <w:ind w:left="4913" w:hanging="360"/>
      </w:pPr>
      <w:rPr>
        <w:rFonts w:ascii="Symbol" w:hAnsi="Symbol" w:hint="default"/>
      </w:rPr>
    </w:lvl>
    <w:lvl w:ilvl="4" w:tplc="04050003" w:tentative="1">
      <w:start w:val="1"/>
      <w:numFmt w:val="bullet"/>
      <w:lvlText w:val="o"/>
      <w:lvlJc w:val="left"/>
      <w:pPr>
        <w:ind w:left="5633" w:hanging="360"/>
      </w:pPr>
      <w:rPr>
        <w:rFonts w:ascii="Courier New" w:hAnsi="Courier New" w:cs="Courier New" w:hint="default"/>
      </w:rPr>
    </w:lvl>
    <w:lvl w:ilvl="5" w:tplc="04050005" w:tentative="1">
      <w:start w:val="1"/>
      <w:numFmt w:val="bullet"/>
      <w:lvlText w:val=""/>
      <w:lvlJc w:val="left"/>
      <w:pPr>
        <w:ind w:left="6353" w:hanging="360"/>
      </w:pPr>
      <w:rPr>
        <w:rFonts w:ascii="Wingdings" w:hAnsi="Wingdings" w:hint="default"/>
      </w:rPr>
    </w:lvl>
    <w:lvl w:ilvl="6" w:tplc="04050001" w:tentative="1">
      <w:start w:val="1"/>
      <w:numFmt w:val="bullet"/>
      <w:lvlText w:val=""/>
      <w:lvlJc w:val="left"/>
      <w:pPr>
        <w:ind w:left="7073" w:hanging="360"/>
      </w:pPr>
      <w:rPr>
        <w:rFonts w:ascii="Symbol" w:hAnsi="Symbol" w:hint="default"/>
      </w:rPr>
    </w:lvl>
    <w:lvl w:ilvl="7" w:tplc="04050003" w:tentative="1">
      <w:start w:val="1"/>
      <w:numFmt w:val="bullet"/>
      <w:lvlText w:val="o"/>
      <w:lvlJc w:val="left"/>
      <w:pPr>
        <w:ind w:left="7793" w:hanging="360"/>
      </w:pPr>
      <w:rPr>
        <w:rFonts w:ascii="Courier New" w:hAnsi="Courier New" w:cs="Courier New" w:hint="default"/>
      </w:rPr>
    </w:lvl>
    <w:lvl w:ilvl="8" w:tplc="04050005" w:tentative="1">
      <w:start w:val="1"/>
      <w:numFmt w:val="bullet"/>
      <w:lvlText w:val=""/>
      <w:lvlJc w:val="left"/>
      <w:pPr>
        <w:ind w:left="8513" w:hanging="360"/>
      </w:pPr>
      <w:rPr>
        <w:rFonts w:ascii="Wingdings" w:hAnsi="Wingdings" w:hint="default"/>
      </w:rPr>
    </w:lvl>
  </w:abstractNum>
  <w:abstractNum w:abstractNumId="11">
    <w:nsid w:val="2D9F6355"/>
    <w:multiLevelType w:val="hybridMultilevel"/>
    <w:tmpl w:val="1E1C8EC6"/>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301562E0"/>
    <w:multiLevelType w:val="hybridMultilevel"/>
    <w:tmpl w:val="1F406420"/>
    <w:lvl w:ilvl="0" w:tplc="A60203FC">
      <w:start w:val="738"/>
      <w:numFmt w:val="bullet"/>
      <w:lvlText w:val="-"/>
      <w:lvlJc w:val="left"/>
      <w:pPr>
        <w:ind w:left="278" w:hanging="360"/>
      </w:pPr>
      <w:rPr>
        <w:rFonts w:ascii="Times New Roman" w:eastAsia="Times New Roman" w:hAnsi="Times New Roman" w:cs="Times New Roman" w:hint="default"/>
      </w:rPr>
    </w:lvl>
    <w:lvl w:ilvl="1" w:tplc="04050003" w:tentative="1">
      <w:start w:val="1"/>
      <w:numFmt w:val="bullet"/>
      <w:lvlText w:val="o"/>
      <w:lvlJc w:val="left"/>
      <w:pPr>
        <w:ind w:left="998" w:hanging="360"/>
      </w:pPr>
      <w:rPr>
        <w:rFonts w:ascii="Courier New" w:hAnsi="Courier New" w:cs="Courier New" w:hint="default"/>
      </w:rPr>
    </w:lvl>
    <w:lvl w:ilvl="2" w:tplc="04050005" w:tentative="1">
      <w:start w:val="1"/>
      <w:numFmt w:val="bullet"/>
      <w:lvlText w:val=""/>
      <w:lvlJc w:val="left"/>
      <w:pPr>
        <w:ind w:left="1718" w:hanging="360"/>
      </w:pPr>
      <w:rPr>
        <w:rFonts w:ascii="Wingdings" w:hAnsi="Wingdings" w:hint="default"/>
      </w:rPr>
    </w:lvl>
    <w:lvl w:ilvl="3" w:tplc="04050001" w:tentative="1">
      <w:start w:val="1"/>
      <w:numFmt w:val="bullet"/>
      <w:lvlText w:val=""/>
      <w:lvlJc w:val="left"/>
      <w:pPr>
        <w:ind w:left="2438" w:hanging="360"/>
      </w:pPr>
      <w:rPr>
        <w:rFonts w:ascii="Symbol" w:hAnsi="Symbol" w:hint="default"/>
      </w:rPr>
    </w:lvl>
    <w:lvl w:ilvl="4" w:tplc="04050003" w:tentative="1">
      <w:start w:val="1"/>
      <w:numFmt w:val="bullet"/>
      <w:lvlText w:val="o"/>
      <w:lvlJc w:val="left"/>
      <w:pPr>
        <w:ind w:left="3158" w:hanging="360"/>
      </w:pPr>
      <w:rPr>
        <w:rFonts w:ascii="Courier New" w:hAnsi="Courier New" w:cs="Courier New" w:hint="default"/>
      </w:rPr>
    </w:lvl>
    <w:lvl w:ilvl="5" w:tplc="04050005" w:tentative="1">
      <w:start w:val="1"/>
      <w:numFmt w:val="bullet"/>
      <w:lvlText w:val=""/>
      <w:lvlJc w:val="left"/>
      <w:pPr>
        <w:ind w:left="3878" w:hanging="360"/>
      </w:pPr>
      <w:rPr>
        <w:rFonts w:ascii="Wingdings" w:hAnsi="Wingdings" w:hint="default"/>
      </w:rPr>
    </w:lvl>
    <w:lvl w:ilvl="6" w:tplc="04050001" w:tentative="1">
      <w:start w:val="1"/>
      <w:numFmt w:val="bullet"/>
      <w:lvlText w:val=""/>
      <w:lvlJc w:val="left"/>
      <w:pPr>
        <w:ind w:left="4598" w:hanging="360"/>
      </w:pPr>
      <w:rPr>
        <w:rFonts w:ascii="Symbol" w:hAnsi="Symbol" w:hint="default"/>
      </w:rPr>
    </w:lvl>
    <w:lvl w:ilvl="7" w:tplc="04050003" w:tentative="1">
      <w:start w:val="1"/>
      <w:numFmt w:val="bullet"/>
      <w:lvlText w:val="o"/>
      <w:lvlJc w:val="left"/>
      <w:pPr>
        <w:ind w:left="5318" w:hanging="360"/>
      </w:pPr>
      <w:rPr>
        <w:rFonts w:ascii="Courier New" w:hAnsi="Courier New" w:cs="Courier New" w:hint="default"/>
      </w:rPr>
    </w:lvl>
    <w:lvl w:ilvl="8" w:tplc="04050005" w:tentative="1">
      <w:start w:val="1"/>
      <w:numFmt w:val="bullet"/>
      <w:lvlText w:val=""/>
      <w:lvlJc w:val="left"/>
      <w:pPr>
        <w:ind w:left="6038" w:hanging="360"/>
      </w:pPr>
      <w:rPr>
        <w:rFonts w:ascii="Wingdings" w:hAnsi="Wingdings" w:hint="default"/>
      </w:rPr>
    </w:lvl>
  </w:abstractNum>
  <w:abstractNum w:abstractNumId="13">
    <w:nsid w:val="371E2919"/>
    <w:multiLevelType w:val="hybridMultilevel"/>
    <w:tmpl w:val="288CDE06"/>
    <w:lvl w:ilvl="0" w:tplc="41689F84">
      <w:start w:val="1"/>
      <w:numFmt w:val="bullet"/>
      <w:lvlText w:val=""/>
      <w:lvlJc w:val="left"/>
      <w:pPr>
        <w:tabs>
          <w:tab w:val="num" w:pos="-207"/>
        </w:tabs>
        <w:ind w:left="-207" w:firstLine="207"/>
      </w:pPr>
      <w:rPr>
        <w:rFonts w:ascii="Wingdings" w:hAnsi="Wingdings" w:hint="default"/>
      </w:rPr>
    </w:lvl>
    <w:lvl w:ilvl="1" w:tplc="04050019">
      <w:start w:val="1"/>
      <w:numFmt w:val="decimal"/>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nsid w:val="3C302D80"/>
    <w:multiLevelType w:val="hybridMultilevel"/>
    <w:tmpl w:val="657019C6"/>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5">
    <w:nsid w:val="3C710E4D"/>
    <w:multiLevelType w:val="multilevel"/>
    <w:tmpl w:val="71F8AF06"/>
    <w:lvl w:ilvl="0">
      <w:start w:val="1"/>
      <w:numFmt w:val="decimal"/>
      <w:lvlText w:val="%1."/>
      <w:lvlJc w:val="left"/>
      <w:pPr>
        <w:ind w:left="360" w:hanging="360"/>
      </w:pPr>
      <w:rPr>
        <w:rFonts w:hint="default"/>
        <w:b/>
      </w:rPr>
    </w:lvl>
    <w:lvl w:ilvl="1">
      <w:start w:val="1"/>
      <w:numFmt w:val="decimal"/>
      <w:lvlText w:val="%1.%2."/>
      <w:lvlJc w:val="left"/>
      <w:pPr>
        <w:ind w:left="574"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3EDD6B8D"/>
    <w:multiLevelType w:val="hybridMultilevel"/>
    <w:tmpl w:val="C27C90B2"/>
    <w:lvl w:ilvl="0" w:tplc="41689F84">
      <w:start w:val="1"/>
      <w:numFmt w:val="bullet"/>
      <w:lvlText w:val=""/>
      <w:lvlJc w:val="left"/>
      <w:pPr>
        <w:tabs>
          <w:tab w:val="num" w:pos="-207"/>
        </w:tabs>
        <w:ind w:left="-207" w:firstLine="207"/>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7">
    <w:nsid w:val="401D68FF"/>
    <w:multiLevelType w:val="hybridMultilevel"/>
    <w:tmpl w:val="50A42158"/>
    <w:lvl w:ilvl="0" w:tplc="A2508102">
      <w:start w:val="1"/>
      <w:numFmt w:val="bullet"/>
      <w:lvlText w:val=""/>
      <w:lvlJc w:val="left"/>
      <w:pPr>
        <w:ind w:left="720" w:hanging="360"/>
      </w:pPr>
      <w:rPr>
        <w:rFonts w:ascii="Symbol" w:hAnsi="Symbol" w:hint="default"/>
        <w:color w:val="4F6228" w:themeColor="accent3" w:themeShade="80"/>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5A2D2E28"/>
    <w:multiLevelType w:val="hybridMultilevel"/>
    <w:tmpl w:val="5D564862"/>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9">
    <w:nsid w:val="5BFD4338"/>
    <w:multiLevelType w:val="hybridMultilevel"/>
    <w:tmpl w:val="CA64E55E"/>
    <w:lvl w:ilvl="0" w:tplc="4A38CE22">
      <w:start w:val="1"/>
      <w:numFmt w:val="bullet"/>
      <w:lvlText w:val="-"/>
      <w:lvlJc w:val="left"/>
      <w:pPr>
        <w:ind w:left="720" w:hanging="360"/>
      </w:pPr>
      <w:rPr>
        <w:rFonts w:ascii="Times New Roman"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nsid w:val="5EC85EED"/>
    <w:multiLevelType w:val="hybridMultilevel"/>
    <w:tmpl w:val="FAAEA9C0"/>
    <w:lvl w:ilvl="0" w:tplc="04050001">
      <w:start w:val="1"/>
      <w:numFmt w:val="bullet"/>
      <w:lvlText w:val=""/>
      <w:lvlJc w:val="left"/>
      <w:pPr>
        <w:ind w:left="360" w:hanging="360"/>
      </w:pPr>
      <w:rPr>
        <w:rFonts w:ascii="Symbol" w:hAnsi="Symbol" w:hint="default"/>
      </w:rPr>
    </w:lvl>
    <w:lvl w:ilvl="1" w:tplc="5EC2B012">
      <w:numFmt w:val="bullet"/>
      <w:lvlText w:val="-"/>
      <w:lvlJc w:val="left"/>
      <w:pPr>
        <w:ind w:left="1080" w:hanging="360"/>
      </w:pPr>
      <w:rPr>
        <w:rFonts w:ascii="Calibri" w:eastAsia="Calibri" w:hAnsi="Calibri" w:cs="Times New Roman"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1">
    <w:nsid w:val="622B67FC"/>
    <w:multiLevelType w:val="hybridMultilevel"/>
    <w:tmpl w:val="94E81EA0"/>
    <w:lvl w:ilvl="0" w:tplc="04050001">
      <w:start w:val="1"/>
      <w:numFmt w:val="bullet"/>
      <w:lvlText w:val=""/>
      <w:lvlJc w:val="left"/>
      <w:pPr>
        <w:tabs>
          <w:tab w:val="num" w:pos="360"/>
        </w:tabs>
        <w:ind w:left="360" w:hanging="360"/>
      </w:pPr>
      <w:rPr>
        <w:rFonts w:ascii="Symbol" w:hAnsi="Symbol" w:hint="default"/>
      </w:rPr>
    </w:lvl>
    <w:lvl w:ilvl="1" w:tplc="04050001">
      <w:start w:val="1"/>
      <w:numFmt w:val="bullet"/>
      <w:lvlText w:val=""/>
      <w:lvlJc w:val="left"/>
      <w:pPr>
        <w:tabs>
          <w:tab w:val="num" w:pos="1440"/>
        </w:tabs>
        <w:ind w:left="1440" w:hanging="360"/>
      </w:pPr>
      <w:rPr>
        <w:rFonts w:ascii="Symbol" w:hAnsi="Symbol" w:hint="default"/>
      </w:rPr>
    </w:lvl>
    <w:lvl w:ilvl="2" w:tplc="F6E44108">
      <w:start w:val="1"/>
      <w:numFmt w:val="lowerLetter"/>
      <w:lvlText w:val="%3)"/>
      <w:lvlJc w:val="left"/>
      <w:pPr>
        <w:tabs>
          <w:tab w:val="num" w:pos="1260"/>
        </w:tabs>
        <w:ind w:left="1260" w:hanging="360"/>
      </w:pPr>
      <w:rPr>
        <w:rFonts w:hint="default"/>
      </w:rPr>
    </w:lvl>
    <w:lvl w:ilvl="3" w:tplc="0405000F">
      <w:start w:val="1"/>
      <w:numFmt w:val="decimal"/>
      <w:lvlText w:val="%4."/>
      <w:lvlJc w:val="left"/>
      <w:pPr>
        <w:tabs>
          <w:tab w:val="num" w:pos="2880"/>
        </w:tabs>
        <w:ind w:left="2880" w:hanging="360"/>
      </w:pPr>
      <w:rPr>
        <w:rFonts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2">
    <w:nsid w:val="683330BE"/>
    <w:multiLevelType w:val="hybridMultilevel"/>
    <w:tmpl w:val="2DF8CA54"/>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tabs>
          <w:tab w:val="num" w:pos="1080"/>
        </w:tabs>
        <w:ind w:left="1080" w:hanging="360"/>
      </w:pPr>
      <w:rPr>
        <w:rFonts w:ascii="Courier New" w:hAnsi="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23">
    <w:nsid w:val="6A742D84"/>
    <w:multiLevelType w:val="hybridMultilevel"/>
    <w:tmpl w:val="39E67918"/>
    <w:lvl w:ilvl="0" w:tplc="04050017">
      <w:start w:val="1"/>
      <w:numFmt w:val="lowerLetter"/>
      <w:lvlText w:val="%1)"/>
      <w:lvlJc w:val="left"/>
      <w:pPr>
        <w:tabs>
          <w:tab w:val="num" w:pos="1260"/>
        </w:tabs>
        <w:ind w:left="1260" w:hanging="360"/>
      </w:pPr>
      <w:rPr>
        <w:rFonts w:hint="default"/>
        <w:b w:val="0"/>
      </w:rPr>
    </w:lvl>
    <w:lvl w:ilvl="1" w:tplc="04050001">
      <w:start w:val="1"/>
      <w:numFmt w:val="bullet"/>
      <w:lvlText w:val=""/>
      <w:lvlJc w:val="left"/>
      <w:pPr>
        <w:tabs>
          <w:tab w:val="num" w:pos="1980"/>
        </w:tabs>
        <w:ind w:left="1980" w:hanging="360"/>
      </w:pPr>
      <w:rPr>
        <w:rFonts w:ascii="Symbol" w:hAnsi="Symbol" w:hint="default"/>
        <w:b w:val="0"/>
      </w:rPr>
    </w:lvl>
    <w:lvl w:ilvl="2" w:tplc="04050005" w:tentative="1">
      <w:start w:val="1"/>
      <w:numFmt w:val="bullet"/>
      <w:lvlText w:val=""/>
      <w:lvlJc w:val="left"/>
      <w:pPr>
        <w:tabs>
          <w:tab w:val="num" w:pos="2700"/>
        </w:tabs>
        <w:ind w:left="2700" w:hanging="360"/>
      </w:pPr>
      <w:rPr>
        <w:rFonts w:ascii="Wingdings" w:hAnsi="Wingdings" w:hint="default"/>
      </w:rPr>
    </w:lvl>
    <w:lvl w:ilvl="3" w:tplc="04050001" w:tentative="1">
      <w:start w:val="1"/>
      <w:numFmt w:val="bullet"/>
      <w:lvlText w:val=""/>
      <w:lvlJc w:val="left"/>
      <w:pPr>
        <w:tabs>
          <w:tab w:val="num" w:pos="3420"/>
        </w:tabs>
        <w:ind w:left="3420" w:hanging="360"/>
      </w:pPr>
      <w:rPr>
        <w:rFonts w:ascii="Symbol" w:hAnsi="Symbol" w:hint="default"/>
      </w:rPr>
    </w:lvl>
    <w:lvl w:ilvl="4" w:tplc="04050003" w:tentative="1">
      <w:start w:val="1"/>
      <w:numFmt w:val="bullet"/>
      <w:lvlText w:val="o"/>
      <w:lvlJc w:val="left"/>
      <w:pPr>
        <w:tabs>
          <w:tab w:val="num" w:pos="4140"/>
        </w:tabs>
        <w:ind w:left="4140" w:hanging="360"/>
      </w:pPr>
      <w:rPr>
        <w:rFonts w:ascii="Courier New" w:hAnsi="Courier New" w:hint="default"/>
      </w:rPr>
    </w:lvl>
    <w:lvl w:ilvl="5" w:tplc="04050005" w:tentative="1">
      <w:start w:val="1"/>
      <w:numFmt w:val="bullet"/>
      <w:lvlText w:val=""/>
      <w:lvlJc w:val="left"/>
      <w:pPr>
        <w:tabs>
          <w:tab w:val="num" w:pos="4860"/>
        </w:tabs>
        <w:ind w:left="4860" w:hanging="360"/>
      </w:pPr>
      <w:rPr>
        <w:rFonts w:ascii="Wingdings" w:hAnsi="Wingdings" w:hint="default"/>
      </w:rPr>
    </w:lvl>
    <w:lvl w:ilvl="6" w:tplc="04050001" w:tentative="1">
      <w:start w:val="1"/>
      <w:numFmt w:val="bullet"/>
      <w:lvlText w:val=""/>
      <w:lvlJc w:val="left"/>
      <w:pPr>
        <w:tabs>
          <w:tab w:val="num" w:pos="5580"/>
        </w:tabs>
        <w:ind w:left="5580" w:hanging="360"/>
      </w:pPr>
      <w:rPr>
        <w:rFonts w:ascii="Symbol" w:hAnsi="Symbol" w:hint="default"/>
      </w:rPr>
    </w:lvl>
    <w:lvl w:ilvl="7" w:tplc="04050003" w:tentative="1">
      <w:start w:val="1"/>
      <w:numFmt w:val="bullet"/>
      <w:lvlText w:val="o"/>
      <w:lvlJc w:val="left"/>
      <w:pPr>
        <w:tabs>
          <w:tab w:val="num" w:pos="6300"/>
        </w:tabs>
        <w:ind w:left="6300" w:hanging="360"/>
      </w:pPr>
      <w:rPr>
        <w:rFonts w:ascii="Courier New" w:hAnsi="Courier New" w:hint="default"/>
      </w:rPr>
    </w:lvl>
    <w:lvl w:ilvl="8" w:tplc="04050005" w:tentative="1">
      <w:start w:val="1"/>
      <w:numFmt w:val="bullet"/>
      <w:lvlText w:val=""/>
      <w:lvlJc w:val="left"/>
      <w:pPr>
        <w:tabs>
          <w:tab w:val="num" w:pos="7020"/>
        </w:tabs>
        <w:ind w:left="7020" w:hanging="360"/>
      </w:pPr>
      <w:rPr>
        <w:rFonts w:ascii="Wingdings" w:hAnsi="Wingdings" w:hint="default"/>
      </w:rPr>
    </w:lvl>
  </w:abstractNum>
  <w:abstractNum w:abstractNumId="24">
    <w:nsid w:val="70165C11"/>
    <w:multiLevelType w:val="hybridMultilevel"/>
    <w:tmpl w:val="8F1C8EC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77442E44"/>
    <w:multiLevelType w:val="hybridMultilevel"/>
    <w:tmpl w:val="D98697E0"/>
    <w:lvl w:ilvl="0" w:tplc="9190EBD4">
      <w:start w:val="1"/>
      <w:numFmt w:val="bullet"/>
      <w:lvlText w:val="-"/>
      <w:lvlJc w:val="left"/>
      <w:pPr>
        <w:ind w:left="720" w:hanging="360"/>
      </w:pPr>
      <w:rPr>
        <w:rFonts w:ascii="Times New Roman" w:eastAsia="Calibri"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1"/>
  </w:num>
  <w:num w:numId="2">
    <w:abstractNumId w:val="25"/>
  </w:num>
  <w:num w:numId="3">
    <w:abstractNumId w:val="16"/>
  </w:num>
  <w:num w:numId="4">
    <w:abstractNumId w:val="13"/>
  </w:num>
  <w:num w:numId="5">
    <w:abstractNumId w:val="12"/>
  </w:num>
  <w:num w:numId="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23"/>
  </w:num>
  <w:num w:numId="10">
    <w:abstractNumId w:val="24"/>
  </w:num>
  <w:num w:numId="11">
    <w:abstractNumId w:val="0"/>
  </w:num>
  <w:num w:numId="12">
    <w:abstractNumId w:val="4"/>
  </w:num>
  <w:num w:numId="13">
    <w:abstractNumId w:val="17"/>
  </w:num>
  <w:num w:numId="14">
    <w:abstractNumId w:val="15"/>
  </w:num>
  <w:num w:numId="15">
    <w:abstractNumId w:val="5"/>
  </w:num>
  <w:num w:numId="16">
    <w:abstractNumId w:val="20"/>
  </w:num>
  <w:num w:numId="17">
    <w:abstractNumId w:val="9"/>
  </w:num>
  <w:num w:numId="18">
    <w:abstractNumId w:val="8"/>
  </w:num>
  <w:num w:numId="19">
    <w:abstractNumId w:val="14"/>
  </w:num>
  <w:num w:numId="20">
    <w:abstractNumId w:val="2"/>
  </w:num>
  <w:num w:numId="21">
    <w:abstractNumId w:val="18"/>
  </w:num>
  <w:num w:numId="22">
    <w:abstractNumId w:val="7"/>
  </w:num>
  <w:num w:numId="23">
    <w:abstractNumId w:val="19"/>
  </w:num>
  <w:num w:numId="24">
    <w:abstractNumId w:val="11"/>
  </w:num>
  <w:num w:numId="25">
    <w:abstractNumId w:val="22"/>
  </w:num>
  <w:num w:numId="26">
    <w:abstractNumId w:val="10"/>
  </w:num>
  <w:num w:numId="27">
    <w:abstractNumId w:val="6"/>
  </w:num>
  <w:num w:numId="2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hdrShapeDefaults>
    <o:shapedefaults v:ext="edit" spidmax="4099"/>
    <o:shapelayout v:ext="edit">
      <o:idmap v:ext="edit" data="4"/>
    </o:shapelayout>
  </w:hdrShapeDefaults>
  <w:footnotePr>
    <w:footnote w:id="-1"/>
    <w:footnote w:id="0"/>
  </w:footnotePr>
  <w:endnotePr>
    <w:endnote w:id="-1"/>
    <w:endnote w:id="0"/>
  </w:endnotePr>
  <w:compat/>
  <w:rsids>
    <w:rsidRoot w:val="004970D4"/>
    <w:rsid w:val="000027C9"/>
    <w:rsid w:val="00003227"/>
    <w:rsid w:val="00012878"/>
    <w:rsid w:val="00014A57"/>
    <w:rsid w:val="00027013"/>
    <w:rsid w:val="00030104"/>
    <w:rsid w:val="000306C2"/>
    <w:rsid w:val="00031128"/>
    <w:rsid w:val="00035267"/>
    <w:rsid w:val="00035E2D"/>
    <w:rsid w:val="00040733"/>
    <w:rsid w:val="00043628"/>
    <w:rsid w:val="00043AC5"/>
    <w:rsid w:val="00044385"/>
    <w:rsid w:val="00045EF6"/>
    <w:rsid w:val="00046204"/>
    <w:rsid w:val="00046B9E"/>
    <w:rsid w:val="0004759E"/>
    <w:rsid w:val="00055C26"/>
    <w:rsid w:val="00060EF4"/>
    <w:rsid w:val="00072D06"/>
    <w:rsid w:val="00072F11"/>
    <w:rsid w:val="00090A7D"/>
    <w:rsid w:val="000914D6"/>
    <w:rsid w:val="000A5197"/>
    <w:rsid w:val="000A7EA8"/>
    <w:rsid w:val="000B1729"/>
    <w:rsid w:val="000B38A1"/>
    <w:rsid w:val="000B5345"/>
    <w:rsid w:val="000B66CA"/>
    <w:rsid w:val="000C1317"/>
    <w:rsid w:val="000C468E"/>
    <w:rsid w:val="000C7BBA"/>
    <w:rsid w:val="000C7EB8"/>
    <w:rsid w:val="000D0B26"/>
    <w:rsid w:val="000E5577"/>
    <w:rsid w:val="000F5C87"/>
    <w:rsid w:val="00101FB1"/>
    <w:rsid w:val="00106BB9"/>
    <w:rsid w:val="00111C4C"/>
    <w:rsid w:val="001154FE"/>
    <w:rsid w:val="001164BC"/>
    <w:rsid w:val="001245CE"/>
    <w:rsid w:val="00124B88"/>
    <w:rsid w:val="0013516D"/>
    <w:rsid w:val="00137999"/>
    <w:rsid w:val="0014080B"/>
    <w:rsid w:val="00143031"/>
    <w:rsid w:val="0014595F"/>
    <w:rsid w:val="00145BFD"/>
    <w:rsid w:val="0015476F"/>
    <w:rsid w:val="00155E58"/>
    <w:rsid w:val="00155EC6"/>
    <w:rsid w:val="001606E8"/>
    <w:rsid w:val="00160783"/>
    <w:rsid w:val="00161871"/>
    <w:rsid w:val="00163E75"/>
    <w:rsid w:val="00175948"/>
    <w:rsid w:val="0018149C"/>
    <w:rsid w:val="00183D14"/>
    <w:rsid w:val="00185D6D"/>
    <w:rsid w:val="00195B9F"/>
    <w:rsid w:val="001A1619"/>
    <w:rsid w:val="001A2B94"/>
    <w:rsid w:val="001B0370"/>
    <w:rsid w:val="001B39CC"/>
    <w:rsid w:val="001B5F52"/>
    <w:rsid w:val="001B69D6"/>
    <w:rsid w:val="001B6D3E"/>
    <w:rsid w:val="001C4CFD"/>
    <w:rsid w:val="001C6E97"/>
    <w:rsid w:val="001D0478"/>
    <w:rsid w:val="001D3167"/>
    <w:rsid w:val="001D5E9C"/>
    <w:rsid w:val="001D67D3"/>
    <w:rsid w:val="001E0B7F"/>
    <w:rsid w:val="001E14C1"/>
    <w:rsid w:val="001E2461"/>
    <w:rsid w:val="001E2E98"/>
    <w:rsid w:val="001F088F"/>
    <w:rsid w:val="001F3F93"/>
    <w:rsid w:val="001F71E3"/>
    <w:rsid w:val="00203874"/>
    <w:rsid w:val="0020690B"/>
    <w:rsid w:val="00211351"/>
    <w:rsid w:val="00213C9B"/>
    <w:rsid w:val="002140FB"/>
    <w:rsid w:val="002148FC"/>
    <w:rsid w:val="00217957"/>
    <w:rsid w:val="00221290"/>
    <w:rsid w:val="00222A3E"/>
    <w:rsid w:val="00223160"/>
    <w:rsid w:val="002242BD"/>
    <w:rsid w:val="00231022"/>
    <w:rsid w:val="00236D38"/>
    <w:rsid w:val="002370A5"/>
    <w:rsid w:val="0024069B"/>
    <w:rsid w:val="00250DA2"/>
    <w:rsid w:val="002555A8"/>
    <w:rsid w:val="00260914"/>
    <w:rsid w:val="002614EE"/>
    <w:rsid w:val="00262F52"/>
    <w:rsid w:val="00263767"/>
    <w:rsid w:val="002669A5"/>
    <w:rsid w:val="002700D7"/>
    <w:rsid w:val="002711B6"/>
    <w:rsid w:val="00273DB5"/>
    <w:rsid w:val="002777D1"/>
    <w:rsid w:val="00293EAD"/>
    <w:rsid w:val="002941D1"/>
    <w:rsid w:val="00295476"/>
    <w:rsid w:val="002A3EDC"/>
    <w:rsid w:val="002A7E50"/>
    <w:rsid w:val="002B127D"/>
    <w:rsid w:val="002D3E63"/>
    <w:rsid w:val="002D58DB"/>
    <w:rsid w:val="002E2F4B"/>
    <w:rsid w:val="002E572F"/>
    <w:rsid w:val="002E6E6D"/>
    <w:rsid w:val="002F1D28"/>
    <w:rsid w:val="002F38EF"/>
    <w:rsid w:val="002F436D"/>
    <w:rsid w:val="00302C02"/>
    <w:rsid w:val="00311C4B"/>
    <w:rsid w:val="00315C51"/>
    <w:rsid w:val="0032634A"/>
    <w:rsid w:val="003268DA"/>
    <w:rsid w:val="003312A2"/>
    <w:rsid w:val="003410BD"/>
    <w:rsid w:val="0035340C"/>
    <w:rsid w:val="00353ECE"/>
    <w:rsid w:val="00363B23"/>
    <w:rsid w:val="00364F1B"/>
    <w:rsid w:val="00365ACC"/>
    <w:rsid w:val="003712D8"/>
    <w:rsid w:val="003735C3"/>
    <w:rsid w:val="0037525B"/>
    <w:rsid w:val="003808D0"/>
    <w:rsid w:val="00381AAE"/>
    <w:rsid w:val="003867AE"/>
    <w:rsid w:val="00391B29"/>
    <w:rsid w:val="003942B1"/>
    <w:rsid w:val="003961E4"/>
    <w:rsid w:val="003A033A"/>
    <w:rsid w:val="003A0F85"/>
    <w:rsid w:val="003A117A"/>
    <w:rsid w:val="003A4702"/>
    <w:rsid w:val="003A4DE6"/>
    <w:rsid w:val="003B1E3B"/>
    <w:rsid w:val="003B2429"/>
    <w:rsid w:val="003B7378"/>
    <w:rsid w:val="003C42F3"/>
    <w:rsid w:val="003C6BF8"/>
    <w:rsid w:val="003E1874"/>
    <w:rsid w:val="003E3A64"/>
    <w:rsid w:val="003E6A65"/>
    <w:rsid w:val="003E7D57"/>
    <w:rsid w:val="003F1A7A"/>
    <w:rsid w:val="003F44A2"/>
    <w:rsid w:val="004002F8"/>
    <w:rsid w:val="004113A4"/>
    <w:rsid w:val="00412074"/>
    <w:rsid w:val="00414840"/>
    <w:rsid w:val="004167E9"/>
    <w:rsid w:val="00417202"/>
    <w:rsid w:val="00417BC7"/>
    <w:rsid w:val="00425BB0"/>
    <w:rsid w:val="0043708B"/>
    <w:rsid w:val="00450298"/>
    <w:rsid w:val="00453DE1"/>
    <w:rsid w:val="00454F2F"/>
    <w:rsid w:val="004617B5"/>
    <w:rsid w:val="0046346F"/>
    <w:rsid w:val="004644D3"/>
    <w:rsid w:val="004652EA"/>
    <w:rsid w:val="004663D8"/>
    <w:rsid w:val="00473F4B"/>
    <w:rsid w:val="00473F75"/>
    <w:rsid w:val="004743CF"/>
    <w:rsid w:val="004750E9"/>
    <w:rsid w:val="00481CF8"/>
    <w:rsid w:val="00485C09"/>
    <w:rsid w:val="00492C05"/>
    <w:rsid w:val="00494F1E"/>
    <w:rsid w:val="0049577C"/>
    <w:rsid w:val="00496E92"/>
    <w:rsid w:val="004970D4"/>
    <w:rsid w:val="00497908"/>
    <w:rsid w:val="004A3A18"/>
    <w:rsid w:val="004A78A3"/>
    <w:rsid w:val="004B25D0"/>
    <w:rsid w:val="004B6FAD"/>
    <w:rsid w:val="004B74AD"/>
    <w:rsid w:val="004D1187"/>
    <w:rsid w:val="004D2D7E"/>
    <w:rsid w:val="004D3B7D"/>
    <w:rsid w:val="004E032C"/>
    <w:rsid w:val="004E3907"/>
    <w:rsid w:val="004F108B"/>
    <w:rsid w:val="004F19B9"/>
    <w:rsid w:val="004F2274"/>
    <w:rsid w:val="00504791"/>
    <w:rsid w:val="005049A4"/>
    <w:rsid w:val="00505FCB"/>
    <w:rsid w:val="00507379"/>
    <w:rsid w:val="005073DD"/>
    <w:rsid w:val="0052149C"/>
    <w:rsid w:val="0052257E"/>
    <w:rsid w:val="00525630"/>
    <w:rsid w:val="005278CC"/>
    <w:rsid w:val="005307FE"/>
    <w:rsid w:val="005329B4"/>
    <w:rsid w:val="00532A55"/>
    <w:rsid w:val="00532FA2"/>
    <w:rsid w:val="005362D4"/>
    <w:rsid w:val="00540255"/>
    <w:rsid w:val="0054482E"/>
    <w:rsid w:val="005566F1"/>
    <w:rsid w:val="00564C8F"/>
    <w:rsid w:val="005665B4"/>
    <w:rsid w:val="00567ACA"/>
    <w:rsid w:val="00567FC6"/>
    <w:rsid w:val="0057037D"/>
    <w:rsid w:val="00570C58"/>
    <w:rsid w:val="00583035"/>
    <w:rsid w:val="00586EC1"/>
    <w:rsid w:val="0059000A"/>
    <w:rsid w:val="00591382"/>
    <w:rsid w:val="00596B2E"/>
    <w:rsid w:val="00597B3A"/>
    <w:rsid w:val="005B228E"/>
    <w:rsid w:val="005B3AE3"/>
    <w:rsid w:val="005B411B"/>
    <w:rsid w:val="005B7197"/>
    <w:rsid w:val="005C65CA"/>
    <w:rsid w:val="005D3171"/>
    <w:rsid w:val="005D3FBD"/>
    <w:rsid w:val="005E24A9"/>
    <w:rsid w:val="005F1295"/>
    <w:rsid w:val="005F21D4"/>
    <w:rsid w:val="005F5F36"/>
    <w:rsid w:val="005F7EA7"/>
    <w:rsid w:val="00602639"/>
    <w:rsid w:val="00604757"/>
    <w:rsid w:val="006053FB"/>
    <w:rsid w:val="006124C2"/>
    <w:rsid w:val="006143CF"/>
    <w:rsid w:val="00616E88"/>
    <w:rsid w:val="006175C3"/>
    <w:rsid w:val="0062148D"/>
    <w:rsid w:val="00627671"/>
    <w:rsid w:val="0063299C"/>
    <w:rsid w:val="00645501"/>
    <w:rsid w:val="00653648"/>
    <w:rsid w:val="00655347"/>
    <w:rsid w:val="006556D9"/>
    <w:rsid w:val="00657035"/>
    <w:rsid w:val="0066126B"/>
    <w:rsid w:val="00662E7D"/>
    <w:rsid w:val="00663A82"/>
    <w:rsid w:val="00664216"/>
    <w:rsid w:val="00675668"/>
    <w:rsid w:val="00676A47"/>
    <w:rsid w:val="006850D3"/>
    <w:rsid w:val="00685605"/>
    <w:rsid w:val="00692784"/>
    <w:rsid w:val="00692D32"/>
    <w:rsid w:val="00694B2C"/>
    <w:rsid w:val="00694ECE"/>
    <w:rsid w:val="006A15E4"/>
    <w:rsid w:val="006A389E"/>
    <w:rsid w:val="006B25CC"/>
    <w:rsid w:val="006B294C"/>
    <w:rsid w:val="006B4443"/>
    <w:rsid w:val="006B762E"/>
    <w:rsid w:val="006C49E5"/>
    <w:rsid w:val="006D3B6E"/>
    <w:rsid w:val="006D3BDB"/>
    <w:rsid w:val="006E23F7"/>
    <w:rsid w:val="006E56A8"/>
    <w:rsid w:val="006E65B4"/>
    <w:rsid w:val="006E6B3A"/>
    <w:rsid w:val="006F1CDB"/>
    <w:rsid w:val="006F73F4"/>
    <w:rsid w:val="00702DAC"/>
    <w:rsid w:val="00704163"/>
    <w:rsid w:val="007045F5"/>
    <w:rsid w:val="0070655D"/>
    <w:rsid w:val="0070726D"/>
    <w:rsid w:val="00710B18"/>
    <w:rsid w:val="007118EA"/>
    <w:rsid w:val="00713E60"/>
    <w:rsid w:val="00715EB1"/>
    <w:rsid w:val="00716216"/>
    <w:rsid w:val="00716ECA"/>
    <w:rsid w:val="00717052"/>
    <w:rsid w:val="00717C3E"/>
    <w:rsid w:val="00720327"/>
    <w:rsid w:val="00723A15"/>
    <w:rsid w:val="00732E21"/>
    <w:rsid w:val="00733FEE"/>
    <w:rsid w:val="00736001"/>
    <w:rsid w:val="00747E3E"/>
    <w:rsid w:val="00751EC6"/>
    <w:rsid w:val="00752B58"/>
    <w:rsid w:val="007532EF"/>
    <w:rsid w:val="00753D26"/>
    <w:rsid w:val="007624D2"/>
    <w:rsid w:val="007651D9"/>
    <w:rsid w:val="00770C45"/>
    <w:rsid w:val="00770D96"/>
    <w:rsid w:val="00777AE9"/>
    <w:rsid w:val="00793C0F"/>
    <w:rsid w:val="007A08B0"/>
    <w:rsid w:val="007B617E"/>
    <w:rsid w:val="007C11D1"/>
    <w:rsid w:val="007C69FC"/>
    <w:rsid w:val="007C7E84"/>
    <w:rsid w:val="007D3838"/>
    <w:rsid w:val="007D5204"/>
    <w:rsid w:val="007D5986"/>
    <w:rsid w:val="007E2635"/>
    <w:rsid w:val="007E3F4A"/>
    <w:rsid w:val="007E5F01"/>
    <w:rsid w:val="007F2586"/>
    <w:rsid w:val="007F7412"/>
    <w:rsid w:val="0080230F"/>
    <w:rsid w:val="00813B64"/>
    <w:rsid w:val="00817B67"/>
    <w:rsid w:val="008243AF"/>
    <w:rsid w:val="00825235"/>
    <w:rsid w:val="00831528"/>
    <w:rsid w:val="00851915"/>
    <w:rsid w:val="00854E72"/>
    <w:rsid w:val="00855100"/>
    <w:rsid w:val="00861811"/>
    <w:rsid w:val="00863E3C"/>
    <w:rsid w:val="008643F2"/>
    <w:rsid w:val="008742D1"/>
    <w:rsid w:val="00885BD7"/>
    <w:rsid w:val="00891519"/>
    <w:rsid w:val="0089407D"/>
    <w:rsid w:val="00894161"/>
    <w:rsid w:val="008966F9"/>
    <w:rsid w:val="008A1138"/>
    <w:rsid w:val="008A12F4"/>
    <w:rsid w:val="008A23FC"/>
    <w:rsid w:val="008A260E"/>
    <w:rsid w:val="008A2856"/>
    <w:rsid w:val="008A5B7B"/>
    <w:rsid w:val="008B101A"/>
    <w:rsid w:val="008B38BC"/>
    <w:rsid w:val="008B74E3"/>
    <w:rsid w:val="008C4059"/>
    <w:rsid w:val="008E30CF"/>
    <w:rsid w:val="008E3997"/>
    <w:rsid w:val="008E76CD"/>
    <w:rsid w:val="008F7243"/>
    <w:rsid w:val="00902614"/>
    <w:rsid w:val="00902697"/>
    <w:rsid w:val="0090354A"/>
    <w:rsid w:val="00903EBF"/>
    <w:rsid w:val="00905194"/>
    <w:rsid w:val="00907C2D"/>
    <w:rsid w:val="00913E8F"/>
    <w:rsid w:val="00914581"/>
    <w:rsid w:val="00914905"/>
    <w:rsid w:val="009167AF"/>
    <w:rsid w:val="00921DE5"/>
    <w:rsid w:val="009274ED"/>
    <w:rsid w:val="00927876"/>
    <w:rsid w:val="009311FC"/>
    <w:rsid w:val="00933AEA"/>
    <w:rsid w:val="009448D3"/>
    <w:rsid w:val="00944A09"/>
    <w:rsid w:val="00945EE9"/>
    <w:rsid w:val="009463DD"/>
    <w:rsid w:val="00950B45"/>
    <w:rsid w:val="00961B5F"/>
    <w:rsid w:val="00961E28"/>
    <w:rsid w:val="00973DF0"/>
    <w:rsid w:val="009814F1"/>
    <w:rsid w:val="0098184C"/>
    <w:rsid w:val="00981A54"/>
    <w:rsid w:val="0099570A"/>
    <w:rsid w:val="009A1826"/>
    <w:rsid w:val="009B2D85"/>
    <w:rsid w:val="009B44AC"/>
    <w:rsid w:val="009B5A8D"/>
    <w:rsid w:val="009B6109"/>
    <w:rsid w:val="009B6C77"/>
    <w:rsid w:val="009B7B7A"/>
    <w:rsid w:val="009C1559"/>
    <w:rsid w:val="009C1B15"/>
    <w:rsid w:val="009C34D5"/>
    <w:rsid w:val="009C554B"/>
    <w:rsid w:val="009C7740"/>
    <w:rsid w:val="009E4E14"/>
    <w:rsid w:val="009E51CB"/>
    <w:rsid w:val="009F0FB8"/>
    <w:rsid w:val="009F11E4"/>
    <w:rsid w:val="009F4A5D"/>
    <w:rsid w:val="00A02EF3"/>
    <w:rsid w:val="00A07341"/>
    <w:rsid w:val="00A10568"/>
    <w:rsid w:val="00A1131A"/>
    <w:rsid w:val="00A17E28"/>
    <w:rsid w:val="00A27F07"/>
    <w:rsid w:val="00A30885"/>
    <w:rsid w:val="00A309FA"/>
    <w:rsid w:val="00A41C7A"/>
    <w:rsid w:val="00A46BA2"/>
    <w:rsid w:val="00A50BEB"/>
    <w:rsid w:val="00A56576"/>
    <w:rsid w:val="00A57054"/>
    <w:rsid w:val="00A64961"/>
    <w:rsid w:val="00A65F6E"/>
    <w:rsid w:val="00A76A2E"/>
    <w:rsid w:val="00A76CC9"/>
    <w:rsid w:val="00A8295D"/>
    <w:rsid w:val="00A87578"/>
    <w:rsid w:val="00A90B6C"/>
    <w:rsid w:val="00A94F1D"/>
    <w:rsid w:val="00A95E24"/>
    <w:rsid w:val="00AA31E2"/>
    <w:rsid w:val="00AA6546"/>
    <w:rsid w:val="00AA6D71"/>
    <w:rsid w:val="00AB08B7"/>
    <w:rsid w:val="00AB0AB3"/>
    <w:rsid w:val="00AB0C10"/>
    <w:rsid w:val="00AB16BE"/>
    <w:rsid w:val="00AB3F00"/>
    <w:rsid w:val="00AC1BA8"/>
    <w:rsid w:val="00AC4F3E"/>
    <w:rsid w:val="00AC5A60"/>
    <w:rsid w:val="00AC65E7"/>
    <w:rsid w:val="00AD434E"/>
    <w:rsid w:val="00AD62DE"/>
    <w:rsid w:val="00AE16D1"/>
    <w:rsid w:val="00AE1779"/>
    <w:rsid w:val="00AE1D1D"/>
    <w:rsid w:val="00AE2325"/>
    <w:rsid w:val="00AE3692"/>
    <w:rsid w:val="00AF0564"/>
    <w:rsid w:val="00AF308A"/>
    <w:rsid w:val="00B01AA7"/>
    <w:rsid w:val="00B0476C"/>
    <w:rsid w:val="00B05B9A"/>
    <w:rsid w:val="00B068AB"/>
    <w:rsid w:val="00B15AA0"/>
    <w:rsid w:val="00B166CF"/>
    <w:rsid w:val="00B17F02"/>
    <w:rsid w:val="00B205E1"/>
    <w:rsid w:val="00B221E6"/>
    <w:rsid w:val="00B2395B"/>
    <w:rsid w:val="00B23A40"/>
    <w:rsid w:val="00B27098"/>
    <w:rsid w:val="00B3123F"/>
    <w:rsid w:val="00B404A7"/>
    <w:rsid w:val="00B43760"/>
    <w:rsid w:val="00B43870"/>
    <w:rsid w:val="00B6162A"/>
    <w:rsid w:val="00B66740"/>
    <w:rsid w:val="00B67231"/>
    <w:rsid w:val="00B71E98"/>
    <w:rsid w:val="00B747FC"/>
    <w:rsid w:val="00B860D7"/>
    <w:rsid w:val="00B90401"/>
    <w:rsid w:val="00BB0383"/>
    <w:rsid w:val="00BB258D"/>
    <w:rsid w:val="00BB74E3"/>
    <w:rsid w:val="00BC1B09"/>
    <w:rsid w:val="00BC5234"/>
    <w:rsid w:val="00BC6217"/>
    <w:rsid w:val="00BC6F34"/>
    <w:rsid w:val="00BD06DF"/>
    <w:rsid w:val="00BD519F"/>
    <w:rsid w:val="00BD7B87"/>
    <w:rsid w:val="00BE0C3B"/>
    <w:rsid w:val="00BE143A"/>
    <w:rsid w:val="00BE1C81"/>
    <w:rsid w:val="00C01AE0"/>
    <w:rsid w:val="00C03CA6"/>
    <w:rsid w:val="00C07E62"/>
    <w:rsid w:val="00C16BB1"/>
    <w:rsid w:val="00C234CB"/>
    <w:rsid w:val="00C242E4"/>
    <w:rsid w:val="00C323F5"/>
    <w:rsid w:val="00C36A6D"/>
    <w:rsid w:val="00C36F48"/>
    <w:rsid w:val="00C447D1"/>
    <w:rsid w:val="00C46356"/>
    <w:rsid w:val="00C46A96"/>
    <w:rsid w:val="00C52728"/>
    <w:rsid w:val="00C552C6"/>
    <w:rsid w:val="00C5661E"/>
    <w:rsid w:val="00C57723"/>
    <w:rsid w:val="00C62876"/>
    <w:rsid w:val="00C74ADE"/>
    <w:rsid w:val="00C76345"/>
    <w:rsid w:val="00C773C6"/>
    <w:rsid w:val="00C82A7D"/>
    <w:rsid w:val="00C830CA"/>
    <w:rsid w:val="00C94540"/>
    <w:rsid w:val="00C96F6D"/>
    <w:rsid w:val="00CA4D92"/>
    <w:rsid w:val="00CA5124"/>
    <w:rsid w:val="00CB1201"/>
    <w:rsid w:val="00CB3D53"/>
    <w:rsid w:val="00CB6330"/>
    <w:rsid w:val="00CC0742"/>
    <w:rsid w:val="00CD0BF5"/>
    <w:rsid w:val="00CD1825"/>
    <w:rsid w:val="00CD1D3D"/>
    <w:rsid w:val="00CD31FE"/>
    <w:rsid w:val="00CD6005"/>
    <w:rsid w:val="00CE01DE"/>
    <w:rsid w:val="00CE4A68"/>
    <w:rsid w:val="00CF197F"/>
    <w:rsid w:val="00D00B54"/>
    <w:rsid w:val="00D0592A"/>
    <w:rsid w:val="00D12BD3"/>
    <w:rsid w:val="00D17F08"/>
    <w:rsid w:val="00D20871"/>
    <w:rsid w:val="00D322D4"/>
    <w:rsid w:val="00D342DA"/>
    <w:rsid w:val="00D37C93"/>
    <w:rsid w:val="00D42228"/>
    <w:rsid w:val="00D43264"/>
    <w:rsid w:val="00D4727F"/>
    <w:rsid w:val="00D541A6"/>
    <w:rsid w:val="00D64DD5"/>
    <w:rsid w:val="00D703D6"/>
    <w:rsid w:val="00D705C7"/>
    <w:rsid w:val="00D70A55"/>
    <w:rsid w:val="00D71E08"/>
    <w:rsid w:val="00D71F6D"/>
    <w:rsid w:val="00D90D6D"/>
    <w:rsid w:val="00D97638"/>
    <w:rsid w:val="00D97CE1"/>
    <w:rsid w:val="00DA34DD"/>
    <w:rsid w:val="00DA59A0"/>
    <w:rsid w:val="00DA5AE7"/>
    <w:rsid w:val="00DA6509"/>
    <w:rsid w:val="00DB3CD3"/>
    <w:rsid w:val="00DB4230"/>
    <w:rsid w:val="00DB6EFE"/>
    <w:rsid w:val="00DC2963"/>
    <w:rsid w:val="00DD1015"/>
    <w:rsid w:val="00DD2CD0"/>
    <w:rsid w:val="00DD6CDF"/>
    <w:rsid w:val="00DD7FD9"/>
    <w:rsid w:val="00DE1503"/>
    <w:rsid w:val="00DE3D25"/>
    <w:rsid w:val="00DE4030"/>
    <w:rsid w:val="00DE6239"/>
    <w:rsid w:val="00DF300F"/>
    <w:rsid w:val="00DF466A"/>
    <w:rsid w:val="00DF4904"/>
    <w:rsid w:val="00DF6CAA"/>
    <w:rsid w:val="00E049E0"/>
    <w:rsid w:val="00E06932"/>
    <w:rsid w:val="00E06B1C"/>
    <w:rsid w:val="00E118E1"/>
    <w:rsid w:val="00E13E54"/>
    <w:rsid w:val="00E15CE0"/>
    <w:rsid w:val="00E16CF6"/>
    <w:rsid w:val="00E20502"/>
    <w:rsid w:val="00E24560"/>
    <w:rsid w:val="00E27DC0"/>
    <w:rsid w:val="00E33248"/>
    <w:rsid w:val="00E46BAC"/>
    <w:rsid w:val="00E53BB3"/>
    <w:rsid w:val="00E5567B"/>
    <w:rsid w:val="00E703B9"/>
    <w:rsid w:val="00E70554"/>
    <w:rsid w:val="00E71DEC"/>
    <w:rsid w:val="00E73CCE"/>
    <w:rsid w:val="00E772E9"/>
    <w:rsid w:val="00E831DB"/>
    <w:rsid w:val="00E8611D"/>
    <w:rsid w:val="00E86919"/>
    <w:rsid w:val="00E8710F"/>
    <w:rsid w:val="00E873B1"/>
    <w:rsid w:val="00EA1100"/>
    <w:rsid w:val="00EA23AA"/>
    <w:rsid w:val="00EA733E"/>
    <w:rsid w:val="00EB65A3"/>
    <w:rsid w:val="00EB7EFA"/>
    <w:rsid w:val="00EC0F39"/>
    <w:rsid w:val="00EC111A"/>
    <w:rsid w:val="00EC3C52"/>
    <w:rsid w:val="00EC64F4"/>
    <w:rsid w:val="00ED1124"/>
    <w:rsid w:val="00ED3E08"/>
    <w:rsid w:val="00EE1E96"/>
    <w:rsid w:val="00EF07D8"/>
    <w:rsid w:val="00EF2D5B"/>
    <w:rsid w:val="00EF2F54"/>
    <w:rsid w:val="00EF551D"/>
    <w:rsid w:val="00F00CE3"/>
    <w:rsid w:val="00F02CEB"/>
    <w:rsid w:val="00F036FB"/>
    <w:rsid w:val="00F03CD1"/>
    <w:rsid w:val="00F1289D"/>
    <w:rsid w:val="00F13385"/>
    <w:rsid w:val="00F27854"/>
    <w:rsid w:val="00F27919"/>
    <w:rsid w:val="00F30FCC"/>
    <w:rsid w:val="00F33CC5"/>
    <w:rsid w:val="00F35625"/>
    <w:rsid w:val="00F35749"/>
    <w:rsid w:val="00F4610E"/>
    <w:rsid w:val="00F47B7B"/>
    <w:rsid w:val="00F50AF5"/>
    <w:rsid w:val="00F532E5"/>
    <w:rsid w:val="00F64EB5"/>
    <w:rsid w:val="00F7046D"/>
    <w:rsid w:val="00F70FEB"/>
    <w:rsid w:val="00F747B7"/>
    <w:rsid w:val="00F83741"/>
    <w:rsid w:val="00F923BD"/>
    <w:rsid w:val="00F97B16"/>
    <w:rsid w:val="00FB518C"/>
    <w:rsid w:val="00FC164E"/>
    <w:rsid w:val="00FC2C65"/>
    <w:rsid w:val="00FD65B0"/>
    <w:rsid w:val="00FE1C17"/>
    <w:rsid w:val="00FF12B9"/>
    <w:rsid w:val="00FF32C5"/>
    <w:rsid w:val="00FF542B"/>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0306C2"/>
    <w:rPr>
      <w:sz w:val="22"/>
      <w:szCs w:val="24"/>
    </w:rPr>
  </w:style>
  <w:style w:type="paragraph" w:styleId="Nadpis1">
    <w:name w:val="heading 1"/>
    <w:basedOn w:val="Normln"/>
    <w:next w:val="Normln"/>
    <w:qFormat/>
    <w:rsid w:val="004970D4"/>
    <w:pPr>
      <w:keepNext/>
      <w:spacing w:before="240" w:after="60"/>
      <w:outlineLvl w:val="0"/>
    </w:pPr>
    <w:rPr>
      <w:rFonts w:ascii="Arial" w:hAnsi="Arial" w:cs="Arial"/>
      <w:b/>
      <w:bCs/>
      <w:kern w:val="32"/>
      <w:sz w:val="32"/>
      <w:szCs w:val="32"/>
    </w:rPr>
  </w:style>
  <w:style w:type="paragraph" w:styleId="Nadpis3">
    <w:name w:val="heading 3"/>
    <w:basedOn w:val="Normln"/>
    <w:next w:val="Normln"/>
    <w:link w:val="Nadpis3Char"/>
    <w:semiHidden/>
    <w:unhideWhenUsed/>
    <w:qFormat/>
    <w:rsid w:val="00DF4904"/>
    <w:pPr>
      <w:keepNext/>
      <w:keepLines/>
      <w:spacing w:before="200"/>
      <w:outlineLvl w:val="2"/>
    </w:pPr>
    <w:rPr>
      <w:rFonts w:asciiTheme="majorHAnsi" w:eastAsiaTheme="majorEastAsia" w:hAnsiTheme="majorHAnsi" w:cstheme="majorBidi"/>
      <w:b/>
      <w:bCs/>
      <w:color w:val="4F81BD" w:themeColor="accent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qFormat/>
    <w:rsid w:val="004970D4"/>
    <w:pPr>
      <w:ind w:left="720"/>
      <w:contextualSpacing/>
    </w:pPr>
  </w:style>
  <w:style w:type="paragraph" w:styleId="Zhlav">
    <w:name w:val="header"/>
    <w:basedOn w:val="Normln"/>
    <w:rsid w:val="000B38A1"/>
    <w:pPr>
      <w:tabs>
        <w:tab w:val="center" w:pos="4536"/>
        <w:tab w:val="right" w:pos="9072"/>
      </w:tabs>
    </w:pPr>
  </w:style>
  <w:style w:type="paragraph" w:styleId="Zpat">
    <w:name w:val="footer"/>
    <w:basedOn w:val="Normln"/>
    <w:link w:val="ZpatChar"/>
    <w:uiPriority w:val="99"/>
    <w:rsid w:val="000B38A1"/>
    <w:pPr>
      <w:tabs>
        <w:tab w:val="center" w:pos="4536"/>
        <w:tab w:val="right" w:pos="9072"/>
      </w:tabs>
    </w:pPr>
  </w:style>
  <w:style w:type="character" w:styleId="slostrnky">
    <w:name w:val="page number"/>
    <w:basedOn w:val="Standardnpsmoodstavce"/>
    <w:rsid w:val="00AA6D71"/>
  </w:style>
  <w:style w:type="paragraph" w:styleId="Zkladntext">
    <w:name w:val="Body Text"/>
    <w:basedOn w:val="Normln"/>
    <w:link w:val="ZkladntextChar"/>
    <w:rsid w:val="00C46A96"/>
    <w:pPr>
      <w:jc w:val="center"/>
    </w:pPr>
    <w:rPr>
      <w:b/>
      <w:sz w:val="28"/>
    </w:rPr>
  </w:style>
  <w:style w:type="paragraph" w:customStyle="1" w:styleId="Char">
    <w:name w:val="Char"/>
    <w:basedOn w:val="Normln"/>
    <w:rsid w:val="00C46A96"/>
    <w:pPr>
      <w:spacing w:after="160" w:line="240" w:lineRule="exact"/>
      <w:jc w:val="both"/>
    </w:pPr>
    <w:rPr>
      <w:rFonts w:ascii="Times New Roman Bold" w:hAnsi="Times New Roman Bold"/>
      <w:szCs w:val="26"/>
      <w:lang w:val="sk-SK" w:eastAsia="en-US"/>
    </w:rPr>
  </w:style>
  <w:style w:type="table" w:styleId="Mkatabulky">
    <w:name w:val="Table Grid"/>
    <w:basedOn w:val="Normlntabulka"/>
    <w:uiPriority w:val="59"/>
    <w:rsid w:val="00B747FC"/>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xtbubliny">
    <w:name w:val="Balloon Text"/>
    <w:basedOn w:val="Normln"/>
    <w:link w:val="TextbublinyChar"/>
    <w:rsid w:val="001606E8"/>
    <w:rPr>
      <w:rFonts w:ascii="Tahoma" w:hAnsi="Tahoma" w:cs="Tahoma"/>
      <w:sz w:val="16"/>
      <w:szCs w:val="16"/>
    </w:rPr>
  </w:style>
  <w:style w:type="character" w:customStyle="1" w:styleId="TextbublinyChar">
    <w:name w:val="Text bubliny Char"/>
    <w:basedOn w:val="Standardnpsmoodstavce"/>
    <w:link w:val="Textbubliny"/>
    <w:rsid w:val="001606E8"/>
    <w:rPr>
      <w:rFonts w:ascii="Tahoma" w:hAnsi="Tahoma" w:cs="Tahoma"/>
      <w:sz w:val="16"/>
      <w:szCs w:val="16"/>
    </w:rPr>
  </w:style>
  <w:style w:type="character" w:customStyle="1" w:styleId="ZkladntextChar">
    <w:name w:val="Základní text Char"/>
    <w:basedOn w:val="Standardnpsmoodstavce"/>
    <w:link w:val="Zkladntext"/>
    <w:rsid w:val="00736001"/>
    <w:rPr>
      <w:b/>
      <w:sz w:val="28"/>
      <w:szCs w:val="24"/>
    </w:rPr>
  </w:style>
  <w:style w:type="character" w:styleId="Siln">
    <w:name w:val="Strong"/>
    <w:basedOn w:val="Standardnpsmoodstavce"/>
    <w:qFormat/>
    <w:rsid w:val="00736001"/>
    <w:rPr>
      <w:b/>
      <w:bCs/>
    </w:rPr>
  </w:style>
  <w:style w:type="paragraph" w:styleId="Textpoznpodarou">
    <w:name w:val="footnote text"/>
    <w:basedOn w:val="Normln"/>
    <w:link w:val="TextpoznpodarouChar"/>
    <w:rsid w:val="00710B18"/>
    <w:rPr>
      <w:sz w:val="20"/>
      <w:szCs w:val="20"/>
    </w:rPr>
  </w:style>
  <w:style w:type="character" w:customStyle="1" w:styleId="TextpoznpodarouChar">
    <w:name w:val="Text pozn. pod čarou Char"/>
    <w:basedOn w:val="Standardnpsmoodstavce"/>
    <w:link w:val="Textpoznpodarou"/>
    <w:rsid w:val="00710B18"/>
  </w:style>
  <w:style w:type="character" w:styleId="Znakapoznpodarou">
    <w:name w:val="footnote reference"/>
    <w:basedOn w:val="Standardnpsmoodstavce"/>
    <w:rsid w:val="00710B18"/>
    <w:rPr>
      <w:vertAlign w:val="superscript"/>
    </w:rPr>
  </w:style>
  <w:style w:type="paragraph" w:styleId="Textvysvtlivek">
    <w:name w:val="endnote text"/>
    <w:basedOn w:val="Normln"/>
    <w:link w:val="TextvysvtlivekChar"/>
    <w:rsid w:val="00676A47"/>
    <w:rPr>
      <w:sz w:val="20"/>
      <w:szCs w:val="20"/>
    </w:rPr>
  </w:style>
  <w:style w:type="character" w:customStyle="1" w:styleId="TextvysvtlivekChar">
    <w:name w:val="Text vysvětlivek Char"/>
    <w:basedOn w:val="Standardnpsmoodstavce"/>
    <w:link w:val="Textvysvtlivek"/>
    <w:rsid w:val="00676A47"/>
  </w:style>
  <w:style w:type="character" w:styleId="Odkaznavysvtlivky">
    <w:name w:val="endnote reference"/>
    <w:basedOn w:val="Standardnpsmoodstavce"/>
    <w:rsid w:val="00676A47"/>
    <w:rPr>
      <w:vertAlign w:val="superscript"/>
    </w:rPr>
  </w:style>
  <w:style w:type="character" w:customStyle="1" w:styleId="ZpatChar">
    <w:name w:val="Zápatí Char"/>
    <w:basedOn w:val="Standardnpsmoodstavce"/>
    <w:link w:val="Zpat"/>
    <w:uiPriority w:val="99"/>
    <w:rsid w:val="00417202"/>
    <w:rPr>
      <w:sz w:val="22"/>
      <w:szCs w:val="24"/>
    </w:rPr>
  </w:style>
  <w:style w:type="character" w:styleId="Odkaznakoment">
    <w:name w:val="annotation reference"/>
    <w:basedOn w:val="Standardnpsmoodstavce"/>
    <w:rsid w:val="00E13E54"/>
    <w:rPr>
      <w:sz w:val="16"/>
      <w:szCs w:val="16"/>
    </w:rPr>
  </w:style>
  <w:style w:type="paragraph" w:styleId="Textkomente">
    <w:name w:val="annotation text"/>
    <w:basedOn w:val="Normln"/>
    <w:link w:val="TextkomenteChar"/>
    <w:rsid w:val="00E13E54"/>
    <w:rPr>
      <w:sz w:val="20"/>
      <w:szCs w:val="20"/>
    </w:rPr>
  </w:style>
  <w:style w:type="character" w:customStyle="1" w:styleId="TextkomenteChar">
    <w:name w:val="Text komentáře Char"/>
    <w:basedOn w:val="Standardnpsmoodstavce"/>
    <w:link w:val="Textkomente"/>
    <w:rsid w:val="00E13E54"/>
  </w:style>
  <w:style w:type="paragraph" w:styleId="Pedmtkomente">
    <w:name w:val="annotation subject"/>
    <w:basedOn w:val="Textkomente"/>
    <w:next w:val="Textkomente"/>
    <w:link w:val="PedmtkomenteChar"/>
    <w:rsid w:val="00E13E54"/>
    <w:rPr>
      <w:b/>
      <w:bCs/>
    </w:rPr>
  </w:style>
  <w:style w:type="character" w:customStyle="1" w:styleId="PedmtkomenteChar">
    <w:name w:val="Předmět komentáře Char"/>
    <w:basedOn w:val="TextkomenteChar"/>
    <w:link w:val="Pedmtkomente"/>
    <w:rsid w:val="00E13E54"/>
    <w:rPr>
      <w:b/>
      <w:bCs/>
    </w:rPr>
  </w:style>
  <w:style w:type="table" w:styleId="Jednoduchtabulka1">
    <w:name w:val="Table Simple 1"/>
    <w:basedOn w:val="Normlntabulka"/>
    <w:rsid w:val="00A87578"/>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Sloupcetabulky1">
    <w:name w:val="Table Columns 1"/>
    <w:basedOn w:val="Normlntabulka"/>
    <w:rsid w:val="00961E28"/>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Svtlseznamzvraznn3">
    <w:name w:val="Light List Accent 3"/>
    <w:basedOn w:val="Normlntabulka"/>
    <w:uiPriority w:val="61"/>
    <w:rsid w:val="00961E28"/>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Tabulkajakoseznam6">
    <w:name w:val="Table List 6"/>
    <w:basedOn w:val="Normlntabulka"/>
    <w:rsid w:val="00961E28"/>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Svtlstnovnzvraznn3">
    <w:name w:val="Light Shading Accent 3"/>
    <w:basedOn w:val="Normlntabulka"/>
    <w:uiPriority w:val="60"/>
    <w:rsid w:val="00961E28"/>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Nadpis2Char">
    <w:name w:val="Nadpis 2 Char"/>
    <w:basedOn w:val="Standardnpsmoodstavce"/>
    <w:uiPriority w:val="99"/>
    <w:rsid w:val="007A08B0"/>
    <w:rPr>
      <w:rFonts w:ascii="Times New Roman" w:hAnsi="Times New Roman" w:cs="Times New Roman"/>
      <w:sz w:val="28"/>
      <w:szCs w:val="28"/>
      <w:lang w:val="cs-CZ" w:eastAsia="cs-CZ" w:bidi="ar-SA"/>
    </w:rPr>
  </w:style>
  <w:style w:type="paragraph" w:customStyle="1" w:styleId="CM1">
    <w:name w:val="CM1"/>
    <w:basedOn w:val="Normln"/>
    <w:next w:val="Normln"/>
    <w:uiPriority w:val="99"/>
    <w:rsid w:val="00504791"/>
    <w:pPr>
      <w:autoSpaceDE w:val="0"/>
      <w:autoSpaceDN w:val="0"/>
      <w:adjustRightInd w:val="0"/>
    </w:pPr>
    <w:rPr>
      <w:rFonts w:ascii="EUAlbertina" w:hAnsi="EUAlbertina"/>
      <w:sz w:val="24"/>
    </w:rPr>
  </w:style>
  <w:style w:type="paragraph" w:customStyle="1" w:styleId="CM3">
    <w:name w:val="CM3"/>
    <w:basedOn w:val="Normln"/>
    <w:next w:val="Normln"/>
    <w:uiPriority w:val="99"/>
    <w:rsid w:val="00504791"/>
    <w:pPr>
      <w:autoSpaceDE w:val="0"/>
      <w:autoSpaceDN w:val="0"/>
      <w:adjustRightInd w:val="0"/>
    </w:pPr>
    <w:rPr>
      <w:rFonts w:ascii="EUAlbertina" w:hAnsi="EUAlbertina"/>
      <w:sz w:val="24"/>
    </w:rPr>
  </w:style>
  <w:style w:type="paragraph" w:customStyle="1" w:styleId="vet1">
    <w:name w:val="výčet 1"/>
    <w:basedOn w:val="Normln"/>
    <w:uiPriority w:val="99"/>
    <w:rsid w:val="00DF4904"/>
    <w:pPr>
      <w:widowControl w:val="0"/>
      <w:tabs>
        <w:tab w:val="num" w:pos="567"/>
      </w:tabs>
      <w:adjustRightInd w:val="0"/>
      <w:spacing w:before="60" w:line="240" w:lineRule="atLeast"/>
      <w:ind w:left="567" w:hanging="567"/>
      <w:jc w:val="both"/>
      <w:textAlignment w:val="baseline"/>
    </w:pPr>
    <w:rPr>
      <w:sz w:val="24"/>
    </w:rPr>
  </w:style>
  <w:style w:type="character" w:customStyle="1" w:styleId="Nadpis3Char">
    <w:name w:val="Nadpis 3 Char"/>
    <w:basedOn w:val="Standardnpsmoodstavce"/>
    <w:link w:val="Nadpis3"/>
    <w:semiHidden/>
    <w:rsid w:val="00DF4904"/>
    <w:rPr>
      <w:rFonts w:asciiTheme="majorHAnsi" w:eastAsiaTheme="majorEastAsia" w:hAnsiTheme="majorHAnsi" w:cstheme="majorBidi"/>
      <w:b/>
      <w:bCs/>
      <w:color w:val="4F81BD" w:themeColor="accent1"/>
      <w:sz w:val="22"/>
      <w:szCs w:val="24"/>
    </w:rPr>
  </w:style>
  <w:style w:type="paragraph" w:customStyle="1" w:styleId="vet10">
    <w:name w:val="vet1"/>
    <w:basedOn w:val="Normln"/>
    <w:rsid w:val="0032634A"/>
    <w:pPr>
      <w:spacing w:before="60" w:line="240" w:lineRule="atLeast"/>
      <w:ind w:left="567" w:hanging="567"/>
      <w:jc w:val="both"/>
    </w:pPr>
    <w:rPr>
      <w:rFonts w:eastAsiaTheme="minorHAnsi"/>
      <w:sz w:val="24"/>
    </w:rPr>
  </w:style>
</w:styles>
</file>

<file path=word/webSettings.xml><?xml version="1.0" encoding="utf-8"?>
<w:webSettings xmlns:r="http://schemas.openxmlformats.org/officeDocument/2006/relationships" xmlns:w="http://schemas.openxmlformats.org/wordprocessingml/2006/main">
  <w:divs>
    <w:div w:id="73866222">
      <w:bodyDiv w:val="1"/>
      <w:marLeft w:val="0"/>
      <w:marRight w:val="0"/>
      <w:marTop w:val="0"/>
      <w:marBottom w:val="0"/>
      <w:divBdr>
        <w:top w:val="none" w:sz="0" w:space="0" w:color="auto"/>
        <w:left w:val="none" w:sz="0" w:space="0" w:color="auto"/>
        <w:bottom w:val="none" w:sz="0" w:space="0" w:color="auto"/>
        <w:right w:val="none" w:sz="0" w:space="0" w:color="auto"/>
      </w:divBdr>
    </w:div>
    <w:div w:id="124154234">
      <w:bodyDiv w:val="1"/>
      <w:marLeft w:val="0"/>
      <w:marRight w:val="0"/>
      <w:marTop w:val="0"/>
      <w:marBottom w:val="0"/>
      <w:divBdr>
        <w:top w:val="none" w:sz="0" w:space="0" w:color="auto"/>
        <w:left w:val="none" w:sz="0" w:space="0" w:color="auto"/>
        <w:bottom w:val="none" w:sz="0" w:space="0" w:color="auto"/>
        <w:right w:val="none" w:sz="0" w:space="0" w:color="auto"/>
      </w:divBdr>
    </w:div>
    <w:div w:id="143011654">
      <w:bodyDiv w:val="1"/>
      <w:marLeft w:val="0"/>
      <w:marRight w:val="0"/>
      <w:marTop w:val="0"/>
      <w:marBottom w:val="0"/>
      <w:divBdr>
        <w:top w:val="none" w:sz="0" w:space="0" w:color="auto"/>
        <w:left w:val="none" w:sz="0" w:space="0" w:color="auto"/>
        <w:bottom w:val="none" w:sz="0" w:space="0" w:color="auto"/>
        <w:right w:val="none" w:sz="0" w:space="0" w:color="auto"/>
      </w:divBdr>
    </w:div>
    <w:div w:id="152645086">
      <w:bodyDiv w:val="1"/>
      <w:marLeft w:val="0"/>
      <w:marRight w:val="0"/>
      <w:marTop w:val="0"/>
      <w:marBottom w:val="0"/>
      <w:divBdr>
        <w:top w:val="none" w:sz="0" w:space="0" w:color="auto"/>
        <w:left w:val="none" w:sz="0" w:space="0" w:color="auto"/>
        <w:bottom w:val="none" w:sz="0" w:space="0" w:color="auto"/>
        <w:right w:val="none" w:sz="0" w:space="0" w:color="auto"/>
      </w:divBdr>
    </w:div>
    <w:div w:id="216748413">
      <w:bodyDiv w:val="1"/>
      <w:marLeft w:val="0"/>
      <w:marRight w:val="0"/>
      <w:marTop w:val="0"/>
      <w:marBottom w:val="0"/>
      <w:divBdr>
        <w:top w:val="none" w:sz="0" w:space="0" w:color="auto"/>
        <w:left w:val="none" w:sz="0" w:space="0" w:color="auto"/>
        <w:bottom w:val="none" w:sz="0" w:space="0" w:color="auto"/>
        <w:right w:val="none" w:sz="0" w:space="0" w:color="auto"/>
      </w:divBdr>
    </w:div>
    <w:div w:id="220755411">
      <w:bodyDiv w:val="1"/>
      <w:marLeft w:val="0"/>
      <w:marRight w:val="0"/>
      <w:marTop w:val="0"/>
      <w:marBottom w:val="0"/>
      <w:divBdr>
        <w:top w:val="none" w:sz="0" w:space="0" w:color="auto"/>
        <w:left w:val="none" w:sz="0" w:space="0" w:color="auto"/>
        <w:bottom w:val="none" w:sz="0" w:space="0" w:color="auto"/>
        <w:right w:val="none" w:sz="0" w:space="0" w:color="auto"/>
      </w:divBdr>
      <w:divsChild>
        <w:div w:id="1949463258">
          <w:marLeft w:val="547"/>
          <w:marRight w:val="0"/>
          <w:marTop w:val="360"/>
          <w:marBottom w:val="0"/>
          <w:divBdr>
            <w:top w:val="none" w:sz="0" w:space="0" w:color="auto"/>
            <w:left w:val="none" w:sz="0" w:space="0" w:color="auto"/>
            <w:bottom w:val="none" w:sz="0" w:space="0" w:color="auto"/>
            <w:right w:val="none" w:sz="0" w:space="0" w:color="auto"/>
          </w:divBdr>
        </w:div>
        <w:div w:id="1036655650">
          <w:marLeft w:val="547"/>
          <w:marRight w:val="0"/>
          <w:marTop w:val="360"/>
          <w:marBottom w:val="0"/>
          <w:divBdr>
            <w:top w:val="none" w:sz="0" w:space="0" w:color="auto"/>
            <w:left w:val="none" w:sz="0" w:space="0" w:color="auto"/>
            <w:bottom w:val="none" w:sz="0" w:space="0" w:color="auto"/>
            <w:right w:val="none" w:sz="0" w:space="0" w:color="auto"/>
          </w:divBdr>
        </w:div>
        <w:div w:id="1437171179">
          <w:marLeft w:val="547"/>
          <w:marRight w:val="0"/>
          <w:marTop w:val="360"/>
          <w:marBottom w:val="0"/>
          <w:divBdr>
            <w:top w:val="none" w:sz="0" w:space="0" w:color="auto"/>
            <w:left w:val="none" w:sz="0" w:space="0" w:color="auto"/>
            <w:bottom w:val="none" w:sz="0" w:space="0" w:color="auto"/>
            <w:right w:val="none" w:sz="0" w:space="0" w:color="auto"/>
          </w:divBdr>
        </w:div>
        <w:div w:id="1176653823">
          <w:marLeft w:val="547"/>
          <w:marRight w:val="0"/>
          <w:marTop w:val="360"/>
          <w:marBottom w:val="0"/>
          <w:divBdr>
            <w:top w:val="none" w:sz="0" w:space="0" w:color="auto"/>
            <w:left w:val="none" w:sz="0" w:space="0" w:color="auto"/>
            <w:bottom w:val="none" w:sz="0" w:space="0" w:color="auto"/>
            <w:right w:val="none" w:sz="0" w:space="0" w:color="auto"/>
          </w:divBdr>
        </w:div>
        <w:div w:id="2041007577">
          <w:marLeft w:val="547"/>
          <w:marRight w:val="0"/>
          <w:marTop w:val="360"/>
          <w:marBottom w:val="0"/>
          <w:divBdr>
            <w:top w:val="none" w:sz="0" w:space="0" w:color="auto"/>
            <w:left w:val="none" w:sz="0" w:space="0" w:color="auto"/>
            <w:bottom w:val="none" w:sz="0" w:space="0" w:color="auto"/>
            <w:right w:val="none" w:sz="0" w:space="0" w:color="auto"/>
          </w:divBdr>
        </w:div>
      </w:divsChild>
    </w:div>
    <w:div w:id="238485958">
      <w:bodyDiv w:val="1"/>
      <w:marLeft w:val="0"/>
      <w:marRight w:val="0"/>
      <w:marTop w:val="0"/>
      <w:marBottom w:val="0"/>
      <w:divBdr>
        <w:top w:val="none" w:sz="0" w:space="0" w:color="auto"/>
        <w:left w:val="none" w:sz="0" w:space="0" w:color="auto"/>
        <w:bottom w:val="none" w:sz="0" w:space="0" w:color="auto"/>
        <w:right w:val="none" w:sz="0" w:space="0" w:color="auto"/>
      </w:divBdr>
    </w:div>
    <w:div w:id="257178549">
      <w:bodyDiv w:val="1"/>
      <w:marLeft w:val="0"/>
      <w:marRight w:val="0"/>
      <w:marTop w:val="0"/>
      <w:marBottom w:val="0"/>
      <w:divBdr>
        <w:top w:val="none" w:sz="0" w:space="0" w:color="auto"/>
        <w:left w:val="none" w:sz="0" w:space="0" w:color="auto"/>
        <w:bottom w:val="none" w:sz="0" w:space="0" w:color="auto"/>
        <w:right w:val="none" w:sz="0" w:space="0" w:color="auto"/>
      </w:divBdr>
    </w:div>
    <w:div w:id="334261845">
      <w:bodyDiv w:val="1"/>
      <w:marLeft w:val="0"/>
      <w:marRight w:val="0"/>
      <w:marTop w:val="0"/>
      <w:marBottom w:val="0"/>
      <w:divBdr>
        <w:top w:val="none" w:sz="0" w:space="0" w:color="auto"/>
        <w:left w:val="none" w:sz="0" w:space="0" w:color="auto"/>
        <w:bottom w:val="none" w:sz="0" w:space="0" w:color="auto"/>
        <w:right w:val="none" w:sz="0" w:space="0" w:color="auto"/>
      </w:divBdr>
    </w:div>
    <w:div w:id="411977359">
      <w:bodyDiv w:val="1"/>
      <w:marLeft w:val="0"/>
      <w:marRight w:val="0"/>
      <w:marTop w:val="0"/>
      <w:marBottom w:val="0"/>
      <w:divBdr>
        <w:top w:val="none" w:sz="0" w:space="0" w:color="auto"/>
        <w:left w:val="none" w:sz="0" w:space="0" w:color="auto"/>
        <w:bottom w:val="none" w:sz="0" w:space="0" w:color="auto"/>
        <w:right w:val="none" w:sz="0" w:space="0" w:color="auto"/>
      </w:divBdr>
    </w:div>
    <w:div w:id="446777502">
      <w:bodyDiv w:val="1"/>
      <w:marLeft w:val="0"/>
      <w:marRight w:val="0"/>
      <w:marTop w:val="0"/>
      <w:marBottom w:val="0"/>
      <w:divBdr>
        <w:top w:val="none" w:sz="0" w:space="0" w:color="auto"/>
        <w:left w:val="none" w:sz="0" w:space="0" w:color="auto"/>
        <w:bottom w:val="none" w:sz="0" w:space="0" w:color="auto"/>
        <w:right w:val="none" w:sz="0" w:space="0" w:color="auto"/>
      </w:divBdr>
    </w:div>
    <w:div w:id="451092983">
      <w:bodyDiv w:val="1"/>
      <w:marLeft w:val="0"/>
      <w:marRight w:val="0"/>
      <w:marTop w:val="0"/>
      <w:marBottom w:val="0"/>
      <w:divBdr>
        <w:top w:val="none" w:sz="0" w:space="0" w:color="auto"/>
        <w:left w:val="none" w:sz="0" w:space="0" w:color="auto"/>
        <w:bottom w:val="none" w:sz="0" w:space="0" w:color="auto"/>
        <w:right w:val="none" w:sz="0" w:space="0" w:color="auto"/>
      </w:divBdr>
    </w:div>
    <w:div w:id="487867625">
      <w:bodyDiv w:val="1"/>
      <w:marLeft w:val="0"/>
      <w:marRight w:val="0"/>
      <w:marTop w:val="0"/>
      <w:marBottom w:val="0"/>
      <w:divBdr>
        <w:top w:val="none" w:sz="0" w:space="0" w:color="auto"/>
        <w:left w:val="none" w:sz="0" w:space="0" w:color="auto"/>
        <w:bottom w:val="none" w:sz="0" w:space="0" w:color="auto"/>
        <w:right w:val="none" w:sz="0" w:space="0" w:color="auto"/>
      </w:divBdr>
    </w:div>
    <w:div w:id="532116092">
      <w:bodyDiv w:val="1"/>
      <w:marLeft w:val="0"/>
      <w:marRight w:val="0"/>
      <w:marTop w:val="0"/>
      <w:marBottom w:val="0"/>
      <w:divBdr>
        <w:top w:val="none" w:sz="0" w:space="0" w:color="auto"/>
        <w:left w:val="none" w:sz="0" w:space="0" w:color="auto"/>
        <w:bottom w:val="none" w:sz="0" w:space="0" w:color="auto"/>
        <w:right w:val="none" w:sz="0" w:space="0" w:color="auto"/>
      </w:divBdr>
    </w:div>
    <w:div w:id="557321218">
      <w:bodyDiv w:val="1"/>
      <w:marLeft w:val="0"/>
      <w:marRight w:val="0"/>
      <w:marTop w:val="0"/>
      <w:marBottom w:val="0"/>
      <w:divBdr>
        <w:top w:val="none" w:sz="0" w:space="0" w:color="auto"/>
        <w:left w:val="none" w:sz="0" w:space="0" w:color="auto"/>
        <w:bottom w:val="none" w:sz="0" w:space="0" w:color="auto"/>
        <w:right w:val="none" w:sz="0" w:space="0" w:color="auto"/>
      </w:divBdr>
    </w:div>
    <w:div w:id="569121164">
      <w:bodyDiv w:val="1"/>
      <w:marLeft w:val="0"/>
      <w:marRight w:val="0"/>
      <w:marTop w:val="0"/>
      <w:marBottom w:val="0"/>
      <w:divBdr>
        <w:top w:val="none" w:sz="0" w:space="0" w:color="auto"/>
        <w:left w:val="none" w:sz="0" w:space="0" w:color="auto"/>
        <w:bottom w:val="none" w:sz="0" w:space="0" w:color="auto"/>
        <w:right w:val="none" w:sz="0" w:space="0" w:color="auto"/>
      </w:divBdr>
    </w:div>
    <w:div w:id="573008660">
      <w:bodyDiv w:val="1"/>
      <w:marLeft w:val="0"/>
      <w:marRight w:val="0"/>
      <w:marTop w:val="0"/>
      <w:marBottom w:val="0"/>
      <w:divBdr>
        <w:top w:val="none" w:sz="0" w:space="0" w:color="auto"/>
        <w:left w:val="none" w:sz="0" w:space="0" w:color="auto"/>
        <w:bottom w:val="none" w:sz="0" w:space="0" w:color="auto"/>
        <w:right w:val="none" w:sz="0" w:space="0" w:color="auto"/>
      </w:divBdr>
    </w:div>
    <w:div w:id="593050511">
      <w:bodyDiv w:val="1"/>
      <w:marLeft w:val="0"/>
      <w:marRight w:val="0"/>
      <w:marTop w:val="0"/>
      <w:marBottom w:val="0"/>
      <w:divBdr>
        <w:top w:val="none" w:sz="0" w:space="0" w:color="auto"/>
        <w:left w:val="none" w:sz="0" w:space="0" w:color="auto"/>
        <w:bottom w:val="none" w:sz="0" w:space="0" w:color="auto"/>
        <w:right w:val="none" w:sz="0" w:space="0" w:color="auto"/>
      </w:divBdr>
    </w:div>
    <w:div w:id="619453963">
      <w:bodyDiv w:val="1"/>
      <w:marLeft w:val="0"/>
      <w:marRight w:val="0"/>
      <w:marTop w:val="0"/>
      <w:marBottom w:val="0"/>
      <w:divBdr>
        <w:top w:val="none" w:sz="0" w:space="0" w:color="auto"/>
        <w:left w:val="none" w:sz="0" w:space="0" w:color="auto"/>
        <w:bottom w:val="none" w:sz="0" w:space="0" w:color="auto"/>
        <w:right w:val="none" w:sz="0" w:space="0" w:color="auto"/>
      </w:divBdr>
    </w:div>
    <w:div w:id="659886618">
      <w:bodyDiv w:val="1"/>
      <w:marLeft w:val="0"/>
      <w:marRight w:val="0"/>
      <w:marTop w:val="0"/>
      <w:marBottom w:val="0"/>
      <w:divBdr>
        <w:top w:val="none" w:sz="0" w:space="0" w:color="auto"/>
        <w:left w:val="none" w:sz="0" w:space="0" w:color="auto"/>
        <w:bottom w:val="none" w:sz="0" w:space="0" w:color="auto"/>
        <w:right w:val="none" w:sz="0" w:space="0" w:color="auto"/>
      </w:divBdr>
    </w:div>
    <w:div w:id="708266460">
      <w:bodyDiv w:val="1"/>
      <w:marLeft w:val="0"/>
      <w:marRight w:val="0"/>
      <w:marTop w:val="0"/>
      <w:marBottom w:val="0"/>
      <w:divBdr>
        <w:top w:val="none" w:sz="0" w:space="0" w:color="auto"/>
        <w:left w:val="none" w:sz="0" w:space="0" w:color="auto"/>
        <w:bottom w:val="none" w:sz="0" w:space="0" w:color="auto"/>
        <w:right w:val="none" w:sz="0" w:space="0" w:color="auto"/>
      </w:divBdr>
    </w:div>
    <w:div w:id="722026242">
      <w:bodyDiv w:val="1"/>
      <w:marLeft w:val="0"/>
      <w:marRight w:val="0"/>
      <w:marTop w:val="0"/>
      <w:marBottom w:val="0"/>
      <w:divBdr>
        <w:top w:val="none" w:sz="0" w:space="0" w:color="auto"/>
        <w:left w:val="none" w:sz="0" w:space="0" w:color="auto"/>
        <w:bottom w:val="none" w:sz="0" w:space="0" w:color="auto"/>
        <w:right w:val="none" w:sz="0" w:space="0" w:color="auto"/>
      </w:divBdr>
    </w:div>
    <w:div w:id="767312274">
      <w:bodyDiv w:val="1"/>
      <w:marLeft w:val="0"/>
      <w:marRight w:val="0"/>
      <w:marTop w:val="0"/>
      <w:marBottom w:val="0"/>
      <w:divBdr>
        <w:top w:val="none" w:sz="0" w:space="0" w:color="auto"/>
        <w:left w:val="none" w:sz="0" w:space="0" w:color="auto"/>
        <w:bottom w:val="none" w:sz="0" w:space="0" w:color="auto"/>
        <w:right w:val="none" w:sz="0" w:space="0" w:color="auto"/>
      </w:divBdr>
    </w:div>
    <w:div w:id="786698504">
      <w:bodyDiv w:val="1"/>
      <w:marLeft w:val="0"/>
      <w:marRight w:val="0"/>
      <w:marTop w:val="0"/>
      <w:marBottom w:val="0"/>
      <w:divBdr>
        <w:top w:val="none" w:sz="0" w:space="0" w:color="auto"/>
        <w:left w:val="none" w:sz="0" w:space="0" w:color="auto"/>
        <w:bottom w:val="none" w:sz="0" w:space="0" w:color="auto"/>
        <w:right w:val="none" w:sz="0" w:space="0" w:color="auto"/>
      </w:divBdr>
    </w:div>
    <w:div w:id="938872787">
      <w:bodyDiv w:val="1"/>
      <w:marLeft w:val="0"/>
      <w:marRight w:val="0"/>
      <w:marTop w:val="0"/>
      <w:marBottom w:val="0"/>
      <w:divBdr>
        <w:top w:val="none" w:sz="0" w:space="0" w:color="auto"/>
        <w:left w:val="none" w:sz="0" w:space="0" w:color="auto"/>
        <w:bottom w:val="none" w:sz="0" w:space="0" w:color="auto"/>
        <w:right w:val="none" w:sz="0" w:space="0" w:color="auto"/>
      </w:divBdr>
    </w:div>
    <w:div w:id="945842313">
      <w:bodyDiv w:val="1"/>
      <w:marLeft w:val="0"/>
      <w:marRight w:val="0"/>
      <w:marTop w:val="0"/>
      <w:marBottom w:val="0"/>
      <w:divBdr>
        <w:top w:val="none" w:sz="0" w:space="0" w:color="auto"/>
        <w:left w:val="none" w:sz="0" w:space="0" w:color="auto"/>
        <w:bottom w:val="none" w:sz="0" w:space="0" w:color="auto"/>
        <w:right w:val="none" w:sz="0" w:space="0" w:color="auto"/>
      </w:divBdr>
    </w:div>
    <w:div w:id="986322271">
      <w:bodyDiv w:val="1"/>
      <w:marLeft w:val="0"/>
      <w:marRight w:val="0"/>
      <w:marTop w:val="0"/>
      <w:marBottom w:val="0"/>
      <w:divBdr>
        <w:top w:val="none" w:sz="0" w:space="0" w:color="auto"/>
        <w:left w:val="none" w:sz="0" w:space="0" w:color="auto"/>
        <w:bottom w:val="none" w:sz="0" w:space="0" w:color="auto"/>
        <w:right w:val="none" w:sz="0" w:space="0" w:color="auto"/>
      </w:divBdr>
    </w:div>
    <w:div w:id="1005519798">
      <w:bodyDiv w:val="1"/>
      <w:marLeft w:val="0"/>
      <w:marRight w:val="0"/>
      <w:marTop w:val="0"/>
      <w:marBottom w:val="0"/>
      <w:divBdr>
        <w:top w:val="none" w:sz="0" w:space="0" w:color="auto"/>
        <w:left w:val="none" w:sz="0" w:space="0" w:color="auto"/>
        <w:bottom w:val="none" w:sz="0" w:space="0" w:color="auto"/>
        <w:right w:val="none" w:sz="0" w:space="0" w:color="auto"/>
      </w:divBdr>
    </w:div>
    <w:div w:id="1008555615">
      <w:bodyDiv w:val="1"/>
      <w:marLeft w:val="0"/>
      <w:marRight w:val="0"/>
      <w:marTop w:val="0"/>
      <w:marBottom w:val="0"/>
      <w:divBdr>
        <w:top w:val="none" w:sz="0" w:space="0" w:color="auto"/>
        <w:left w:val="none" w:sz="0" w:space="0" w:color="auto"/>
        <w:bottom w:val="none" w:sz="0" w:space="0" w:color="auto"/>
        <w:right w:val="none" w:sz="0" w:space="0" w:color="auto"/>
      </w:divBdr>
    </w:div>
    <w:div w:id="1051080997">
      <w:bodyDiv w:val="1"/>
      <w:marLeft w:val="0"/>
      <w:marRight w:val="0"/>
      <w:marTop w:val="0"/>
      <w:marBottom w:val="0"/>
      <w:divBdr>
        <w:top w:val="none" w:sz="0" w:space="0" w:color="auto"/>
        <w:left w:val="none" w:sz="0" w:space="0" w:color="auto"/>
        <w:bottom w:val="none" w:sz="0" w:space="0" w:color="auto"/>
        <w:right w:val="none" w:sz="0" w:space="0" w:color="auto"/>
      </w:divBdr>
    </w:div>
    <w:div w:id="1161891207">
      <w:bodyDiv w:val="1"/>
      <w:marLeft w:val="0"/>
      <w:marRight w:val="0"/>
      <w:marTop w:val="0"/>
      <w:marBottom w:val="0"/>
      <w:divBdr>
        <w:top w:val="none" w:sz="0" w:space="0" w:color="auto"/>
        <w:left w:val="none" w:sz="0" w:space="0" w:color="auto"/>
        <w:bottom w:val="none" w:sz="0" w:space="0" w:color="auto"/>
        <w:right w:val="none" w:sz="0" w:space="0" w:color="auto"/>
      </w:divBdr>
    </w:div>
    <w:div w:id="1174347104">
      <w:bodyDiv w:val="1"/>
      <w:marLeft w:val="0"/>
      <w:marRight w:val="0"/>
      <w:marTop w:val="0"/>
      <w:marBottom w:val="0"/>
      <w:divBdr>
        <w:top w:val="none" w:sz="0" w:space="0" w:color="auto"/>
        <w:left w:val="none" w:sz="0" w:space="0" w:color="auto"/>
        <w:bottom w:val="none" w:sz="0" w:space="0" w:color="auto"/>
        <w:right w:val="none" w:sz="0" w:space="0" w:color="auto"/>
      </w:divBdr>
    </w:div>
    <w:div w:id="1194222392">
      <w:bodyDiv w:val="1"/>
      <w:marLeft w:val="0"/>
      <w:marRight w:val="0"/>
      <w:marTop w:val="0"/>
      <w:marBottom w:val="0"/>
      <w:divBdr>
        <w:top w:val="none" w:sz="0" w:space="0" w:color="auto"/>
        <w:left w:val="none" w:sz="0" w:space="0" w:color="auto"/>
        <w:bottom w:val="none" w:sz="0" w:space="0" w:color="auto"/>
        <w:right w:val="none" w:sz="0" w:space="0" w:color="auto"/>
      </w:divBdr>
    </w:div>
    <w:div w:id="1227184852">
      <w:bodyDiv w:val="1"/>
      <w:marLeft w:val="0"/>
      <w:marRight w:val="0"/>
      <w:marTop w:val="0"/>
      <w:marBottom w:val="0"/>
      <w:divBdr>
        <w:top w:val="none" w:sz="0" w:space="0" w:color="auto"/>
        <w:left w:val="none" w:sz="0" w:space="0" w:color="auto"/>
        <w:bottom w:val="none" w:sz="0" w:space="0" w:color="auto"/>
        <w:right w:val="none" w:sz="0" w:space="0" w:color="auto"/>
      </w:divBdr>
    </w:div>
    <w:div w:id="1260026640">
      <w:bodyDiv w:val="1"/>
      <w:marLeft w:val="0"/>
      <w:marRight w:val="0"/>
      <w:marTop w:val="0"/>
      <w:marBottom w:val="0"/>
      <w:divBdr>
        <w:top w:val="none" w:sz="0" w:space="0" w:color="auto"/>
        <w:left w:val="none" w:sz="0" w:space="0" w:color="auto"/>
        <w:bottom w:val="none" w:sz="0" w:space="0" w:color="auto"/>
        <w:right w:val="none" w:sz="0" w:space="0" w:color="auto"/>
      </w:divBdr>
    </w:div>
    <w:div w:id="1267733231">
      <w:bodyDiv w:val="1"/>
      <w:marLeft w:val="0"/>
      <w:marRight w:val="0"/>
      <w:marTop w:val="0"/>
      <w:marBottom w:val="0"/>
      <w:divBdr>
        <w:top w:val="none" w:sz="0" w:space="0" w:color="auto"/>
        <w:left w:val="none" w:sz="0" w:space="0" w:color="auto"/>
        <w:bottom w:val="none" w:sz="0" w:space="0" w:color="auto"/>
        <w:right w:val="none" w:sz="0" w:space="0" w:color="auto"/>
      </w:divBdr>
    </w:div>
    <w:div w:id="1273395822">
      <w:bodyDiv w:val="1"/>
      <w:marLeft w:val="0"/>
      <w:marRight w:val="0"/>
      <w:marTop w:val="0"/>
      <w:marBottom w:val="0"/>
      <w:divBdr>
        <w:top w:val="none" w:sz="0" w:space="0" w:color="auto"/>
        <w:left w:val="none" w:sz="0" w:space="0" w:color="auto"/>
        <w:bottom w:val="none" w:sz="0" w:space="0" w:color="auto"/>
        <w:right w:val="none" w:sz="0" w:space="0" w:color="auto"/>
      </w:divBdr>
    </w:div>
    <w:div w:id="1289094546">
      <w:bodyDiv w:val="1"/>
      <w:marLeft w:val="0"/>
      <w:marRight w:val="0"/>
      <w:marTop w:val="0"/>
      <w:marBottom w:val="0"/>
      <w:divBdr>
        <w:top w:val="none" w:sz="0" w:space="0" w:color="auto"/>
        <w:left w:val="none" w:sz="0" w:space="0" w:color="auto"/>
        <w:bottom w:val="none" w:sz="0" w:space="0" w:color="auto"/>
        <w:right w:val="none" w:sz="0" w:space="0" w:color="auto"/>
      </w:divBdr>
    </w:div>
    <w:div w:id="1317493109">
      <w:bodyDiv w:val="1"/>
      <w:marLeft w:val="0"/>
      <w:marRight w:val="0"/>
      <w:marTop w:val="0"/>
      <w:marBottom w:val="0"/>
      <w:divBdr>
        <w:top w:val="none" w:sz="0" w:space="0" w:color="auto"/>
        <w:left w:val="none" w:sz="0" w:space="0" w:color="auto"/>
        <w:bottom w:val="none" w:sz="0" w:space="0" w:color="auto"/>
        <w:right w:val="none" w:sz="0" w:space="0" w:color="auto"/>
      </w:divBdr>
    </w:div>
    <w:div w:id="1457988895">
      <w:bodyDiv w:val="1"/>
      <w:marLeft w:val="0"/>
      <w:marRight w:val="0"/>
      <w:marTop w:val="0"/>
      <w:marBottom w:val="0"/>
      <w:divBdr>
        <w:top w:val="none" w:sz="0" w:space="0" w:color="auto"/>
        <w:left w:val="none" w:sz="0" w:space="0" w:color="auto"/>
        <w:bottom w:val="none" w:sz="0" w:space="0" w:color="auto"/>
        <w:right w:val="none" w:sz="0" w:space="0" w:color="auto"/>
      </w:divBdr>
    </w:div>
    <w:div w:id="1465394170">
      <w:bodyDiv w:val="1"/>
      <w:marLeft w:val="0"/>
      <w:marRight w:val="0"/>
      <w:marTop w:val="0"/>
      <w:marBottom w:val="0"/>
      <w:divBdr>
        <w:top w:val="none" w:sz="0" w:space="0" w:color="auto"/>
        <w:left w:val="none" w:sz="0" w:space="0" w:color="auto"/>
        <w:bottom w:val="none" w:sz="0" w:space="0" w:color="auto"/>
        <w:right w:val="none" w:sz="0" w:space="0" w:color="auto"/>
      </w:divBdr>
    </w:div>
    <w:div w:id="1540388550">
      <w:bodyDiv w:val="1"/>
      <w:marLeft w:val="0"/>
      <w:marRight w:val="0"/>
      <w:marTop w:val="0"/>
      <w:marBottom w:val="0"/>
      <w:divBdr>
        <w:top w:val="none" w:sz="0" w:space="0" w:color="auto"/>
        <w:left w:val="none" w:sz="0" w:space="0" w:color="auto"/>
        <w:bottom w:val="none" w:sz="0" w:space="0" w:color="auto"/>
        <w:right w:val="none" w:sz="0" w:space="0" w:color="auto"/>
      </w:divBdr>
    </w:div>
    <w:div w:id="1604997164">
      <w:bodyDiv w:val="1"/>
      <w:marLeft w:val="0"/>
      <w:marRight w:val="0"/>
      <w:marTop w:val="0"/>
      <w:marBottom w:val="0"/>
      <w:divBdr>
        <w:top w:val="none" w:sz="0" w:space="0" w:color="auto"/>
        <w:left w:val="none" w:sz="0" w:space="0" w:color="auto"/>
        <w:bottom w:val="none" w:sz="0" w:space="0" w:color="auto"/>
        <w:right w:val="none" w:sz="0" w:space="0" w:color="auto"/>
      </w:divBdr>
    </w:div>
    <w:div w:id="1637759699">
      <w:bodyDiv w:val="1"/>
      <w:marLeft w:val="0"/>
      <w:marRight w:val="0"/>
      <w:marTop w:val="0"/>
      <w:marBottom w:val="0"/>
      <w:divBdr>
        <w:top w:val="none" w:sz="0" w:space="0" w:color="auto"/>
        <w:left w:val="none" w:sz="0" w:space="0" w:color="auto"/>
        <w:bottom w:val="none" w:sz="0" w:space="0" w:color="auto"/>
        <w:right w:val="none" w:sz="0" w:space="0" w:color="auto"/>
      </w:divBdr>
    </w:div>
    <w:div w:id="1663269950">
      <w:bodyDiv w:val="1"/>
      <w:marLeft w:val="0"/>
      <w:marRight w:val="0"/>
      <w:marTop w:val="0"/>
      <w:marBottom w:val="0"/>
      <w:divBdr>
        <w:top w:val="none" w:sz="0" w:space="0" w:color="auto"/>
        <w:left w:val="none" w:sz="0" w:space="0" w:color="auto"/>
        <w:bottom w:val="none" w:sz="0" w:space="0" w:color="auto"/>
        <w:right w:val="none" w:sz="0" w:space="0" w:color="auto"/>
      </w:divBdr>
    </w:div>
    <w:div w:id="1675838808">
      <w:bodyDiv w:val="1"/>
      <w:marLeft w:val="0"/>
      <w:marRight w:val="0"/>
      <w:marTop w:val="0"/>
      <w:marBottom w:val="0"/>
      <w:divBdr>
        <w:top w:val="none" w:sz="0" w:space="0" w:color="auto"/>
        <w:left w:val="none" w:sz="0" w:space="0" w:color="auto"/>
        <w:bottom w:val="none" w:sz="0" w:space="0" w:color="auto"/>
        <w:right w:val="none" w:sz="0" w:space="0" w:color="auto"/>
      </w:divBdr>
    </w:div>
    <w:div w:id="1676810657">
      <w:bodyDiv w:val="1"/>
      <w:marLeft w:val="0"/>
      <w:marRight w:val="0"/>
      <w:marTop w:val="0"/>
      <w:marBottom w:val="0"/>
      <w:divBdr>
        <w:top w:val="none" w:sz="0" w:space="0" w:color="auto"/>
        <w:left w:val="none" w:sz="0" w:space="0" w:color="auto"/>
        <w:bottom w:val="none" w:sz="0" w:space="0" w:color="auto"/>
        <w:right w:val="none" w:sz="0" w:space="0" w:color="auto"/>
      </w:divBdr>
    </w:div>
    <w:div w:id="1718815952">
      <w:bodyDiv w:val="1"/>
      <w:marLeft w:val="0"/>
      <w:marRight w:val="0"/>
      <w:marTop w:val="0"/>
      <w:marBottom w:val="0"/>
      <w:divBdr>
        <w:top w:val="none" w:sz="0" w:space="0" w:color="auto"/>
        <w:left w:val="none" w:sz="0" w:space="0" w:color="auto"/>
        <w:bottom w:val="none" w:sz="0" w:space="0" w:color="auto"/>
        <w:right w:val="none" w:sz="0" w:space="0" w:color="auto"/>
      </w:divBdr>
    </w:div>
    <w:div w:id="1742094462">
      <w:bodyDiv w:val="1"/>
      <w:marLeft w:val="0"/>
      <w:marRight w:val="0"/>
      <w:marTop w:val="0"/>
      <w:marBottom w:val="0"/>
      <w:divBdr>
        <w:top w:val="none" w:sz="0" w:space="0" w:color="auto"/>
        <w:left w:val="none" w:sz="0" w:space="0" w:color="auto"/>
        <w:bottom w:val="none" w:sz="0" w:space="0" w:color="auto"/>
        <w:right w:val="none" w:sz="0" w:space="0" w:color="auto"/>
      </w:divBdr>
    </w:div>
    <w:div w:id="1762023917">
      <w:bodyDiv w:val="1"/>
      <w:marLeft w:val="0"/>
      <w:marRight w:val="0"/>
      <w:marTop w:val="0"/>
      <w:marBottom w:val="0"/>
      <w:divBdr>
        <w:top w:val="none" w:sz="0" w:space="0" w:color="auto"/>
        <w:left w:val="none" w:sz="0" w:space="0" w:color="auto"/>
        <w:bottom w:val="none" w:sz="0" w:space="0" w:color="auto"/>
        <w:right w:val="none" w:sz="0" w:space="0" w:color="auto"/>
      </w:divBdr>
    </w:div>
    <w:div w:id="1833570419">
      <w:bodyDiv w:val="1"/>
      <w:marLeft w:val="0"/>
      <w:marRight w:val="0"/>
      <w:marTop w:val="0"/>
      <w:marBottom w:val="0"/>
      <w:divBdr>
        <w:top w:val="none" w:sz="0" w:space="0" w:color="auto"/>
        <w:left w:val="none" w:sz="0" w:space="0" w:color="auto"/>
        <w:bottom w:val="none" w:sz="0" w:space="0" w:color="auto"/>
        <w:right w:val="none" w:sz="0" w:space="0" w:color="auto"/>
      </w:divBdr>
    </w:div>
    <w:div w:id="1858998740">
      <w:bodyDiv w:val="1"/>
      <w:marLeft w:val="0"/>
      <w:marRight w:val="0"/>
      <w:marTop w:val="0"/>
      <w:marBottom w:val="0"/>
      <w:divBdr>
        <w:top w:val="none" w:sz="0" w:space="0" w:color="auto"/>
        <w:left w:val="none" w:sz="0" w:space="0" w:color="auto"/>
        <w:bottom w:val="none" w:sz="0" w:space="0" w:color="auto"/>
        <w:right w:val="none" w:sz="0" w:space="0" w:color="auto"/>
      </w:divBdr>
      <w:divsChild>
        <w:div w:id="670256885">
          <w:marLeft w:val="547"/>
          <w:marRight w:val="0"/>
          <w:marTop w:val="360"/>
          <w:marBottom w:val="0"/>
          <w:divBdr>
            <w:top w:val="none" w:sz="0" w:space="0" w:color="auto"/>
            <w:left w:val="none" w:sz="0" w:space="0" w:color="auto"/>
            <w:bottom w:val="none" w:sz="0" w:space="0" w:color="auto"/>
            <w:right w:val="none" w:sz="0" w:space="0" w:color="auto"/>
          </w:divBdr>
        </w:div>
        <w:div w:id="477456070">
          <w:marLeft w:val="547"/>
          <w:marRight w:val="0"/>
          <w:marTop w:val="360"/>
          <w:marBottom w:val="0"/>
          <w:divBdr>
            <w:top w:val="none" w:sz="0" w:space="0" w:color="auto"/>
            <w:left w:val="none" w:sz="0" w:space="0" w:color="auto"/>
            <w:bottom w:val="none" w:sz="0" w:space="0" w:color="auto"/>
            <w:right w:val="none" w:sz="0" w:space="0" w:color="auto"/>
          </w:divBdr>
        </w:div>
      </w:divsChild>
    </w:div>
    <w:div w:id="1991782663">
      <w:bodyDiv w:val="1"/>
      <w:marLeft w:val="0"/>
      <w:marRight w:val="0"/>
      <w:marTop w:val="0"/>
      <w:marBottom w:val="0"/>
      <w:divBdr>
        <w:top w:val="none" w:sz="0" w:space="0" w:color="auto"/>
        <w:left w:val="none" w:sz="0" w:space="0" w:color="auto"/>
        <w:bottom w:val="none" w:sz="0" w:space="0" w:color="auto"/>
        <w:right w:val="none" w:sz="0" w:space="0" w:color="auto"/>
      </w:divBdr>
    </w:div>
    <w:div w:id="2024624392">
      <w:bodyDiv w:val="1"/>
      <w:marLeft w:val="0"/>
      <w:marRight w:val="0"/>
      <w:marTop w:val="0"/>
      <w:marBottom w:val="0"/>
      <w:divBdr>
        <w:top w:val="none" w:sz="0" w:space="0" w:color="auto"/>
        <w:left w:val="none" w:sz="0" w:space="0" w:color="auto"/>
        <w:bottom w:val="none" w:sz="0" w:space="0" w:color="auto"/>
        <w:right w:val="none" w:sz="0" w:space="0" w:color="auto"/>
      </w:divBdr>
    </w:div>
    <w:div w:id="2035842898">
      <w:bodyDiv w:val="1"/>
      <w:marLeft w:val="0"/>
      <w:marRight w:val="0"/>
      <w:marTop w:val="0"/>
      <w:marBottom w:val="0"/>
      <w:divBdr>
        <w:top w:val="none" w:sz="0" w:space="0" w:color="auto"/>
        <w:left w:val="none" w:sz="0" w:space="0" w:color="auto"/>
        <w:bottom w:val="none" w:sz="0" w:space="0" w:color="auto"/>
        <w:right w:val="none" w:sz="0" w:space="0" w:color="auto"/>
      </w:divBdr>
    </w:div>
    <w:div w:id="2037999319">
      <w:bodyDiv w:val="1"/>
      <w:marLeft w:val="0"/>
      <w:marRight w:val="0"/>
      <w:marTop w:val="0"/>
      <w:marBottom w:val="0"/>
      <w:divBdr>
        <w:top w:val="none" w:sz="0" w:space="0" w:color="auto"/>
        <w:left w:val="none" w:sz="0" w:space="0" w:color="auto"/>
        <w:bottom w:val="none" w:sz="0" w:space="0" w:color="auto"/>
        <w:right w:val="none" w:sz="0" w:space="0" w:color="auto"/>
      </w:divBdr>
    </w:div>
    <w:div w:id="2144956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C8BFD-F6EF-4F19-A22B-D4DB5F87A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2331</Words>
  <Characters>13472</Characters>
  <Application>Microsoft Office Word</Application>
  <DocSecurity>0</DocSecurity>
  <Lines>112</Lines>
  <Paragraphs>31</Paragraphs>
  <ScaleCrop>false</ScaleCrop>
  <HeadingPairs>
    <vt:vector size="2" baseType="variant">
      <vt:variant>
        <vt:lpstr>Název</vt:lpstr>
      </vt:variant>
      <vt:variant>
        <vt:i4>1</vt:i4>
      </vt:variant>
    </vt:vector>
  </HeadingPairs>
  <TitlesOfParts>
    <vt:vector size="1" baseType="lpstr">
      <vt:lpstr>Aktuální stav implementace opatření Osy II</vt:lpstr>
    </vt:vector>
  </TitlesOfParts>
  <Company>mze</Company>
  <LinksUpToDate>false</LinksUpToDate>
  <CharactersWithSpaces>15772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Aktuální stav implementace opatření Osy II</dc:title>
  <dc:creator>Kubu Alena</dc:creator>
  <cp:lastModifiedBy>Maruška</cp:lastModifiedBy>
  <cp:revision>3</cp:revision>
  <cp:lastPrinted>2013-10-23T13:54:00Z</cp:lastPrinted>
  <dcterms:created xsi:type="dcterms:W3CDTF">2013-10-30T16:57:00Z</dcterms:created>
  <dcterms:modified xsi:type="dcterms:W3CDTF">2013-10-31T06:02:00Z</dcterms:modified>
</cp:coreProperties>
</file>